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rmal"/>
        <w:widowControl/>
        <w:spacing w:after="60"/>
        <w:jc w:val="center"/>
      </w:pPr>
      <w:r>
        <w:rPr>
          <w:color w:val="000000"/>
          <w:sz w:val="15"/>
          <w:b/>
        </w:rPr>
        <w:t xml:space="preserve">HOJA EDITABLE</w:t>
      </w:r>
    </w:p>
    <w:p>
      <w:pPr>
        <w:pStyle w:val="Title"/>
        <w:widowControl/>
        <w:keepNext/>
        <w:spacing w:before="0" w:after="100"/>
        <w:jc w:val="center"/>
      </w:pPr>
      <w:r>
        <w:rPr/>
        <w:t xml:space="preserve">Prepara la impugnación de una sanción laboral</w:t>
      </w:r>
    </w:p>
    <w:p>
      <w:pPr>
        <w:pStyle w:val="Normal"/>
        <w:widowControl/>
      </w:pPr>
      <w:r>
        <w:rPr/>
        <w:t xml:space="preserve">Reúne los datos y documentos necesarios para completar la solicitud oficial de conciliación o mediación que corresponda y preparar, si procede, la demanda social.</w:t>
      </w:r>
    </w:p>
    <w:p>
      <w:pPr>
        <w:pStyle w:val="Normal"/>
        <w:widowControl/>
      </w:pPr>
      <w:r>
        <w:rPr>
          <w:b/>
        </w:rPr>
        <w:t xml:space="preserve">Utiliza esta hoja como apoyo.</w:t>
      </w:r>
      <w:r>
        <w:rPr/>
        <w:t xml:space="preserve"> No sustituye el formulario oficial ni acredita su presentación. Puede servir de anexo cuando el órgano competente lo admita. El escrito de alegaciones dirigido a la empresa es una actuación distinta.</w:t>
      </w:r>
    </w:p>
    <w:p>
      <w:pPr>
        <w:pStyle w:val="Heading1"/>
        <w:widowControl/>
        <w:keepNext/>
      </w:pPr>
      <w:r>
        <w:rPr/>
        <w:t xml:space="preserve">Primero protege el plazo</w:t>
      </w:r>
    </w:p>
    <w:p>
      <w:pPr>
        <w:pStyle w:val="Normal"/>
        <w:widowControl/>
      </w:pPr>
      <w:r>
        <w:rPr/>
        <w:t xml:space="preserve">La impugnación tiene un plazo general de </w:t>
      </w:r>
      <w:r>
        <w:rPr>
          <w:b/>
        </w:rPr>
        <w:t xml:space="preserve">veinte días hábiles</w:t>
      </w:r>
      <w:r>
        <w:rPr/>
        <w:t xml:space="preserve">. Anota cuándo recibiste la decisión sancionadora y comprueba el cómputo sin esperar a cumplir la sanción. Los sábados, domingos y festivos no se cuentan en los términos legales; revisa también el calendario aplicable.</w:t>
      </w:r>
    </w:p>
    <w:p>
      <w:pPr>
        <w:pStyle w:val="Normal"/>
        <w:widowControl/>
      </w:pPr>
      <w:r>
        <w:rPr/>
        <w:t xml:space="preserve">Enviar alegaciones a RRHH </w:t>
      </w:r>
      <w:r>
        <w:rPr>
          <w:b/>
        </w:rPr>
        <w:t xml:space="preserve">no suspende automáticamente</w:t>
      </w:r>
      <w:r>
        <w:rPr/>
        <w:t xml:space="preserve"> la caducidad. Un convenio puede regular una decisión provisional y una revisión interna que determine cuándo pasa a ser definitiva. Hay que examinar la carta y ese régimen concreto, sin presuponer sus efectos.</w:t>
      </w:r>
    </w:p>
    <w:p>
      <w:pPr>
        <w:pStyle w:val="Normal"/>
        <w:widowControl/>
      </w:pPr>
      <w:r>
        <w:rPr/>
        <w:t xml:space="preserve">La solicitud previa que proceda suspende la caducidad desde su presentación. El plazo pendiente se reanuda al día siguiente de intentarse la conciliación o mediación o, si no se celebra, tras quince días hábiles desde la presentación. A los treinta días hábiles, en las condiciones del artículo 65.2 LRJS, el trámite se tiene por cumplido: </w:t>
      </w:r>
      <w:r>
        <w:rPr>
          <w:b/>
        </w:rPr>
        <w:t xml:space="preserve">eso no concede treinta días adicionales ni permite esperar hasta entonces para demandar</w:t>
      </w:r>
      <w:r>
        <w:rPr/>
        <w:t xml:space="preserve">.</w:t>
      </w:r>
    </w:p>
    <w:p>
      <w:pPr>
        <w:pStyle w:val="Heading1"/>
        <w:widowControl/>
        <w:keepNext/>
      </w:pPr>
      <w:r>
        <w:rPr/>
        <w:t xml:space="preserve">1 Confirma la vía y el formulario</w:t>
      </w:r>
    </w:p>
    <w:p>
      <w:pPr>
        <w:pStyle w:val="WorksheetField"/>
        <w:widowControl/>
        <w:keepNext/>
      </w:pPr>
      <w:r>
        <w:rPr/>
        <w:t xml:space="preserve">Centro de trabajo y territorio</w:t>
      </w:r>
    </w:p>
    <w:p>
      <w:pPr>
        <w:pStyle w:val="WorksheetBlank"/>
        <w:widowControl/>
      </w:pPr>
      <w:r>
        <w:rPr/>
        <w:t xml:space="preserve">________________________________________________________________________________</w:t>
      </w:r>
    </w:p>
    <w:p>
      <w:pPr>
        <w:pStyle w:val="WorksheetField"/>
        <w:widowControl/>
        <w:keepNext/>
      </w:pPr>
      <w:r>
        <w:rPr/>
        <w:t xml:space="preserve">Órgano competente y formulario vigente</w:t>
      </w:r>
    </w:p>
    <w:p>
      <w:pPr>
        <w:pStyle w:val="WorksheetBlank"/>
        <w:widowControl/>
      </w:pPr>
      <w:r>
        <w:rPr/>
        <w:t xml:space="preserve">________________________________________________________________________________</w:t>
      </w:r>
    </w:p>
    <w:p>
      <w:pPr>
        <w:pStyle w:val="Normal"/>
        <w:widowControl/>
      </w:pPr>
      <w:r>
        <w:rPr/>
        <w:t xml:space="preserve">En Andalucía, el régimen disciplinario </w:t>
      </w:r>
      <w:r>
        <w:rPr>
          <w:b/>
        </w:rPr>
        <w:t xml:space="preserve">sin despido</w:t>
      </w:r>
      <w:r>
        <w:rPr/>
        <w:t xml:space="preserve"> figura entre las materias del SERCLA. Usa su formulario oficial para el conflicto individual, exigido por el artículo 17 de su Reglamento. Para otras materias que correspondan al CMAC, utiliza el modelo obligatorio modificado en junio de 2026. No son formularios intercambiables. En otro territorio, comprueba el servicio y modelo competente.</w:t>
      </w:r>
    </w:p>
    <w:p>
      <w:pPr>
        <w:pStyle w:val="Normal"/>
        <w:widowControl/>
      </w:pPr>
      <w:hyperlink r:id="rId14">
        <w:r>
          <w:rPr>
            <w:color w:val="0563C1"/>
            <w:u w:val="single"/>
          </w:rPr>
          <w:t xml:space="preserve">Formularios oficiales del SERCLA</w:t>
        </w:r>
      </w:hyperlink>
      <w:r>
        <w:rPr/>
        <w:t xml:space="preserve"> · </w:t>
      </w:r>
      <w:hyperlink r:id="rId15">
        <w:r>
          <w:rPr>
            <w:color w:val="0563C1"/>
            <w:u w:val="single"/>
          </w:rPr>
          <w:t xml:space="preserve">Modelo obligatorio del CMAC: resolución de junio de 2026</w:t>
        </w:r>
      </w:hyperlink>
    </w:p>
    <w:p>
      <w:pPr>
        <w:pStyle w:val="Heading1"/>
        <w:widowControl/>
        <w:keepNext/>
        <w:pageBreakBefore/>
      </w:pPr>
      <w:r>
        <w:rPr/>
        <w:t xml:space="preserve">2 Identifica a las partes</w:t>
      </w:r>
    </w:p>
    <w:p>
      <w:pPr>
        <w:pStyle w:val="WorksheetField"/>
        <w:widowControl/>
        <w:keepNext/>
      </w:pPr>
      <w:r>
        <w:rPr/>
        <w:t xml:space="preserve">Persona trabajadora y documento identificativo</w:t>
      </w:r>
    </w:p>
    <w:p>
      <w:pPr>
        <w:pStyle w:val="WorksheetBlank"/>
        <w:widowControl/>
      </w:pPr>
      <w:r>
        <w:rPr/>
        <w:t xml:space="preserve">________________________________________________________________________________</w:t>
      </w:r>
    </w:p>
    <w:p>
      <w:pPr>
        <w:pStyle w:val="WorksheetField"/>
        <w:widowControl/>
        <w:keepNext/>
      </w:pPr>
      <w:r>
        <w:rPr/>
        <w:t xml:space="preserve">Contacto para notificaciones</w:t>
      </w:r>
    </w:p>
    <w:p>
      <w:pPr>
        <w:pStyle w:val="WorksheetBlank"/>
        <w:widowControl/>
      </w:pPr>
      <w:r>
        <w:rPr/>
        <w:t xml:space="preserve">________________________________________________________________________________</w:t>
      </w:r>
    </w:p>
    <w:p>
      <w:pPr>
        <w:pStyle w:val="WorksheetField"/>
        <w:widowControl/>
        <w:keepNext/>
      </w:pPr>
      <w:r>
        <w:rPr/>
        <w:t xml:space="preserve">Empresa y NIF</w:t>
      </w:r>
    </w:p>
    <w:p>
      <w:pPr>
        <w:pStyle w:val="WorksheetBlank"/>
        <w:widowControl/>
      </w:pPr>
      <w:r>
        <w:rPr/>
        <w:t xml:space="preserve">________________________________________________________________________________</w:t>
      </w:r>
    </w:p>
    <w:p>
      <w:pPr>
        <w:pStyle w:val="WorksheetField"/>
        <w:widowControl/>
        <w:keepNext/>
      </w:pPr>
      <w:r>
        <w:rPr/>
        <w:t xml:space="preserve">Domicilio correcto de la empresa y centro de trabajo</w:t>
      </w:r>
    </w:p>
    <w:p>
      <w:pPr>
        <w:pStyle w:val="WorksheetBlank"/>
        <w:widowControl/>
      </w:pPr>
      <w:r>
        <w:rPr/>
        <w:t xml:space="preserve">________________________________________________________________________________</w:t>
      </w:r>
    </w:p>
    <w:p>
      <w:pPr>
        <w:pStyle w:val="WorksheetField"/>
        <w:widowControl/>
        <w:keepNext/>
      </w:pPr>
      <w:r>
        <w:rPr/>
        <w:t xml:space="preserve">Puesto o categoría y antigüedad</w:t>
      </w:r>
    </w:p>
    <w:p>
      <w:pPr>
        <w:pStyle w:val="WorksheetBlank"/>
        <w:widowControl/>
      </w:pPr>
      <w:r>
        <w:rPr/>
        <w:t xml:space="preserve">________________________________________________________________________________</w:t>
      </w:r>
    </w:p>
    <w:p>
      <w:pPr>
        <w:pStyle w:val="WorksheetField"/>
        <w:widowControl/>
        <w:keepNext/>
      </w:pPr>
      <w:r>
        <w:rPr/>
        <w:t xml:space="preserve">Convenio aplicable</w:t>
      </w:r>
    </w:p>
    <w:p>
      <w:pPr>
        <w:pStyle w:val="WorksheetBlank"/>
        <w:widowControl/>
      </w:pPr>
      <w:r>
        <w:rPr/>
        <w:t xml:space="preserve">________________________________________________________________________________</w:t>
      </w:r>
    </w:p>
    <w:p>
      <w:pPr>
        <w:pStyle w:val="WorksheetField"/>
        <w:widowControl/>
        <w:keepNext/>
      </w:pPr>
      <w:r>
        <w:rPr/>
        <w:t xml:space="preserve">Representante y acreditación si interviene</w:t>
      </w:r>
    </w:p>
    <w:p>
      <w:pPr>
        <w:pStyle w:val="WorksheetBlank"/>
        <w:widowControl/>
      </w:pPr>
      <w:r>
        <w:rPr/>
        <w:t xml:space="preserve">________________________________________________________________________________</w:t>
      </w:r>
    </w:p>
    <w:p>
      <w:pPr>
        <w:pStyle w:val="Heading1"/>
        <w:widowControl/>
        <w:keepNext/>
      </w:pPr>
      <w:r>
        <w:rPr/>
        <w:t xml:space="preserve">3 Separa las fechas y conserva su prueba</w:t>
      </w:r>
    </w:p>
    <w:p>
      <w:pPr>
        <w:pStyle w:val="WorksheetSmall"/>
        <w:widowControl/>
        <w:keepNext/>
      </w:pPr>
      <w:r>
        <w:rPr/>
        <w:t xml:space="preserve">Notificación cumplimiento y revisión interna son hitos distintos</w:t>
      </w:r>
    </w:p>
    <w:tbl>
      <w:tblPr>
        <w:tblW w:w="9547" w:type="dxa"/>
        <w:jc w:val="center"/>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110" w:type="dxa"/>
          <w:left w:w="140" w:type="dxa"/>
          <w:bottom w:w="110" w:type="dxa"/>
          <w:right w:w="140" w:type="dxa"/>
        </w:tblCellMar>
      </w:tblPr>
      <w:tblGrid>
        <w:gridCol w:w="3650"/>
        <w:gridCol w:w="5897"/>
      </w:tblGrid>
      <w:tr>
        <w:trPr>
          <w:cantSplit/>
          <w:tblHeader/>
        </w:trPr>
        <w:tc>
          <w:tcPr>
            <w:tcW w:w="3650" w:type="dxa"/>
            <w:vAlign w:val="center"/>
            <w:shd w:fill="EFEFEF"/>
          </w:tcPr>
          <w:p>
            <w:pPr>
              <w:pStyle w:val="WorksheetTable"/>
            </w:pPr>
            <w:r>
              <w:rPr>
                <w:b/>
              </w:rPr>
              <w:t xml:space="preserve">Hito</w:t>
            </w:r>
          </w:p>
        </w:tc>
        <w:tc>
          <w:tcPr>
            <w:tcW w:w="5897" w:type="dxa"/>
            <w:vAlign w:val="center"/>
            <w:shd w:fill="EFEFEF"/>
          </w:tcPr>
          <w:p>
            <w:pPr>
              <w:pStyle w:val="WorksheetTable"/>
            </w:pPr>
            <w:r>
              <w:rPr>
                <w:b/>
              </w:rPr>
              <w:t xml:space="preserve">Fecha y justificante</w:t>
            </w:r>
          </w:p>
        </w:tc>
      </w:tr>
      <w:tr>
        <w:trPr>
          <w:cantSplit/>
        </w:trPr>
        <w:tc>
          <w:tcPr>
            <w:tcW w:w="3650" w:type="dxa"/>
            <w:vAlign w:val="center"/>
          </w:tcPr>
          <w:p>
            <w:pPr>
              <w:pStyle w:val="WorksheetTable"/>
            </w:pPr>
            <w:r>
              <w:rPr>
                <w:b/>
              </w:rPr>
              <w:t xml:space="preserve">Recepción de la decisión sancionadora</w:t>
            </w:r>
          </w:p>
        </w:tc>
        <w:tc>
          <w:tcPr>
            <w:tcW w:w="5897" w:type="dxa"/>
            <w:vAlign w:val="center"/>
          </w:tcPr>
          <w:p>
            <w:pPr>
              <w:pStyle w:val="WorksheetTable"/>
            </w:pPr>
            <w:r>
              <w:rPr/>
              <w:t xml:space="preserve"/>
            </w:r>
            <w:r>
              <w:br/>
            </w:r>
            <w:r>
              <w:rPr/>
              <w:t xml:space="preserve"/>
            </w:r>
            <w:r>
              <w:br/>
            </w:r>
            <w:r>
              <w:rPr/>
              <w:t xml:space="preserve"/>
            </w:r>
          </w:p>
        </w:tc>
      </w:tr>
      <w:tr>
        <w:trPr>
          <w:cantSplit/>
        </w:trPr>
        <w:tc>
          <w:tcPr>
            <w:tcW w:w="3650" w:type="dxa"/>
            <w:vAlign w:val="center"/>
          </w:tcPr>
          <w:p>
            <w:pPr>
              <w:pStyle w:val="WorksheetTable"/>
            </w:pPr>
            <w:r>
              <w:rPr>
                <w:b/>
              </w:rPr>
              <w:t xml:space="preserve">Inicio o criterio previsto de cumplimiento</w:t>
            </w:r>
          </w:p>
        </w:tc>
        <w:tc>
          <w:tcPr>
            <w:tcW w:w="5897" w:type="dxa"/>
            <w:vAlign w:val="center"/>
          </w:tcPr>
          <w:p>
            <w:pPr>
              <w:pStyle w:val="WorksheetTable"/>
            </w:pPr>
            <w:r>
              <w:rPr/>
              <w:t xml:space="preserve"/>
            </w:r>
            <w:r>
              <w:br/>
            </w:r>
            <w:r>
              <w:rPr/>
              <w:t xml:space="preserve"/>
            </w:r>
            <w:r>
              <w:br/>
            </w:r>
            <w:r>
              <w:rPr/>
              <w:t xml:space="preserve"/>
            </w:r>
          </w:p>
        </w:tc>
      </w:tr>
      <w:tr>
        <w:trPr>
          <w:cantSplit/>
        </w:trPr>
        <w:tc>
          <w:tcPr>
            <w:tcW w:w="3650" w:type="dxa"/>
            <w:vAlign w:val="center"/>
          </w:tcPr>
          <w:p>
            <w:pPr>
              <w:pStyle w:val="WorksheetTable"/>
            </w:pPr>
            <w:r>
              <w:rPr>
                <w:b/>
              </w:rPr>
              <w:t xml:space="preserve">Recurso interno previsto en convenio y respuesta si existen</w:t>
            </w:r>
          </w:p>
        </w:tc>
        <w:tc>
          <w:tcPr>
            <w:tcW w:w="5897" w:type="dxa"/>
            <w:vAlign w:val="center"/>
          </w:tcPr>
          <w:p>
            <w:pPr>
              <w:pStyle w:val="WorksheetTable"/>
            </w:pPr>
            <w:r>
              <w:rPr/>
              <w:t xml:space="preserve"/>
            </w:r>
            <w:r>
              <w:br/>
            </w:r>
            <w:r>
              <w:rPr/>
              <w:t xml:space="preserve"/>
            </w:r>
            <w:r>
              <w:br/>
            </w:r>
            <w:r>
              <w:rPr/>
              <w:t xml:space="preserve"/>
            </w:r>
          </w:p>
        </w:tc>
      </w:tr>
    </w:tbl>
    <w:p>
      <w:pPr>
        <w:pStyle w:val="Normal"/>
        <w:widowControl/>
        <w:spacing w:after="30"/>
      </w:pPr>
      <w:r>
        <w:rPr/>
        <w:t xml:space="preserve"/>
      </w:r>
    </w:p>
    <w:p>
      <w:pPr>
        <w:pStyle w:val="Normal"/>
        <w:widowControl/>
      </w:pPr>
      <w:r>
        <w:rPr/>
        <w:t xml:space="preserve">Indica si recibiste solo un pliego de cargos, una propuesta provisional o una sanción ya impuesta. Copia la referencia del convenio que regule la revisión interna: [____]. Si algún dato se desconoce, déjalo pendiente; no inventes fechas.</w:t>
      </w:r>
    </w:p>
    <w:p>
      <w:pPr>
        <w:pStyle w:val="WorksheetField"/>
        <w:widowControl/>
        <w:keepNext/>
      </w:pPr>
      <w:r>
        <w:rPr/>
        <w:t xml:space="preserve">Referencia del convenio y datos pendientes de confirmar</w:t>
      </w:r>
    </w:p>
    <w:p>
      <w:pPr>
        <w:pStyle w:val="WorksheetBlank"/>
        <w:widowControl/>
      </w:pPr>
      <w:r>
        <w:rPr/>
        <w:t xml:space="preserve">________________________________________________________________________________</w:t>
      </w:r>
    </w:p>
    <w:p>
      <w:pPr>
        <w:pStyle w:val="Heading1"/>
        <w:widowControl/>
        <w:keepNext/>
        <w:pageBreakBefore/>
      </w:pPr>
      <w:r>
        <w:rPr/>
        <w:t xml:space="preserve">4 Resume la sanción y tu discrepancia</w:t>
      </w:r>
    </w:p>
    <w:p>
      <w:pPr>
        <w:pStyle w:val="Normal"/>
        <w:widowControl/>
      </w:pPr>
      <w:r>
        <w:rPr/>
        <w:t xml:space="preserve">Señala qué hechos niegas, qué contexto falta o por qué discutes la graduación o proporcionalidad. Identifica también posibles defectos de forma, sin dar por segura la nulidad.</w:t>
      </w:r>
    </w:p>
    <w:p>
      <w:pPr>
        <w:pStyle w:val="WorksheetField"/>
        <w:widowControl/>
        <w:keepNext/>
      </w:pPr>
      <w:r>
        <w:rPr/>
        <w:t xml:space="preserve">Tipo duración y hechos que atribuye la empresa</w:t>
      </w:r>
    </w:p>
    <w:p>
      <w:pPr>
        <w:pStyle w:val="WorksheetBlank"/>
        <w:widowControl/>
        <w:keepNext/>
      </w:pPr>
      <w:r>
        <w:rPr/>
        <w:t xml:space="preserve">________________________________________________________________________________</w:t>
      </w:r>
    </w:p>
    <w:p>
      <w:pPr>
        <w:pStyle w:val="WorksheetBlank"/>
        <w:widowControl/>
      </w:pPr>
      <w:r>
        <w:rPr/>
        <w:t xml:space="preserve">________________________________________________________________________________</w:t>
      </w:r>
    </w:p>
    <w:p>
      <w:pPr>
        <w:pStyle w:val="WorksheetField"/>
        <w:widowControl/>
        <w:keepNext/>
      </w:pPr>
      <w:r>
        <w:rPr/>
        <w:t xml:space="preserve">Tu versión cronológica y concreta</w:t>
      </w:r>
    </w:p>
    <w:p>
      <w:pPr>
        <w:pStyle w:val="WorksheetBlank"/>
        <w:widowControl/>
        <w:keepNext/>
      </w:pPr>
      <w:r>
        <w:rPr/>
        <w:t xml:space="preserve">________________________________________________________________________________</w:t>
      </w:r>
    </w:p>
    <w:p>
      <w:pPr>
        <w:pStyle w:val="WorksheetBlank"/>
        <w:widowControl/>
        <w:keepNext/>
      </w:pPr>
      <w:r>
        <w:rPr/>
        <w:t xml:space="preserve">________________________________________________________________________________</w:t>
      </w:r>
    </w:p>
    <w:p>
      <w:pPr>
        <w:pStyle w:val="WorksheetBlank"/>
        <w:widowControl/>
      </w:pPr>
      <w:r>
        <w:rPr/>
        <w:t xml:space="preserve">________________________________________________________________________________</w:t>
      </w:r>
    </w:p>
    <w:p>
      <w:pPr>
        <w:pStyle w:val="Heading1"/>
        <w:widowControl/>
        <w:keepNext/>
      </w:pPr>
      <w:r>
        <w:rPr/>
        <w:t xml:space="preserve">5 Ordena la prueba</w:t>
      </w:r>
    </w:p>
    <w:p>
      <w:pPr>
        <w:pStyle w:val="Normal"/>
        <w:widowControl/>
      </w:pPr>
      <w:r>
        <w:rPr/>
        <w:t xml:space="preserve">Numera carta íntegra y justificante de recepción; contrato y convenio; comunicaciones y respuesta interna; registros o documentos pertinentes; y posibles testigos. Junto a cada elemento, indica qué hecho acredita. Conserva los originales y limita datos personales de terceros.</w:t>
      </w:r>
    </w:p>
    <w:p>
      <w:pPr>
        <w:pStyle w:val="WorksheetField"/>
        <w:widowControl/>
        <w:keepNext/>
      </w:pPr>
      <w:r>
        <w:rPr/>
        <w:t xml:space="preserve">Número documento o testigo y hecho que acredita</w:t>
      </w:r>
    </w:p>
    <w:p>
      <w:pPr>
        <w:pStyle w:val="WorksheetBlank"/>
        <w:widowControl/>
        <w:keepNext/>
      </w:pPr>
      <w:r>
        <w:rPr/>
        <w:t xml:space="preserve">________________________________________________________________________________</w:t>
      </w:r>
    </w:p>
    <w:p>
      <w:pPr>
        <w:pStyle w:val="WorksheetBlank"/>
        <w:widowControl/>
        <w:keepNext/>
      </w:pPr>
      <w:r>
        <w:rPr/>
        <w:t xml:space="preserve">________________________________________________________________________________</w:t>
      </w:r>
    </w:p>
    <w:p>
      <w:pPr>
        <w:pStyle w:val="WorksheetBlank"/>
        <w:widowControl/>
      </w:pPr>
      <w:r>
        <w:rPr/>
        <w:t xml:space="preserve">________________________________________________________________________________</w:t>
      </w:r>
    </w:p>
    <w:p>
      <w:pPr>
        <w:pStyle w:val="Heading1"/>
        <w:widowControl/>
        <w:keepNext/>
      </w:pPr>
      <w:r>
        <w:rPr/>
        <w:t xml:space="preserve">6 Concreta lo que solicitas</w:t>
      </w:r>
    </w:p>
    <w:p>
      <w:pPr>
        <w:pStyle w:val="Normal"/>
        <w:widowControl/>
      </w:pPr>
      <w:r>
        <w:rPr/>
        <w:t xml:space="preserve">Por ejemplo, dejar sin efecto la sanción o revisar su calificación, según el caso. Si existen efectos económicos que reclamar, identifícalos y cuantifícalos con soporte. Traslada hechos y petición al formulario oficial, con revisión profesional de su encaje.</w:t>
      </w:r>
    </w:p>
    <w:p>
      <w:pPr>
        <w:pStyle w:val="WorksheetField"/>
        <w:widowControl/>
        <w:keepNext/>
      </w:pPr>
      <w:r>
        <w:rPr/>
        <w:t xml:space="preserve">Resultado que pretendes y motivo</w:t>
      </w:r>
    </w:p>
    <w:p>
      <w:pPr>
        <w:pStyle w:val="WorksheetBlank"/>
        <w:widowControl/>
        <w:keepNext/>
      </w:pPr>
      <w:r>
        <w:rPr/>
        <w:t xml:space="preserve">________________________________________________________________________________</w:t>
      </w:r>
    </w:p>
    <w:p>
      <w:pPr>
        <w:pStyle w:val="WorksheetBlank"/>
        <w:widowControl/>
        <w:keepNext/>
      </w:pPr>
      <w:r>
        <w:rPr/>
        <w:t xml:space="preserve">________________________________________________________________________________</w:t>
      </w:r>
    </w:p>
    <w:p>
      <w:pPr>
        <w:pStyle w:val="WorksheetBlank"/>
        <w:widowControl/>
      </w:pPr>
      <w:r>
        <w:rPr/>
        <w:t xml:space="preserve">________________________________________________________________________________</w:t>
      </w:r>
    </w:p>
    <w:p>
      <w:pPr>
        <w:pStyle w:val="Heading1"/>
        <w:widowControl/>
        <w:keepNext/>
        <w:pageBreakBefore/>
      </w:pPr>
      <w:r>
        <w:rPr/>
        <w:t xml:space="preserve">7 Controla la presentación y el siguiente paso</w:t>
      </w:r>
    </w:p>
    <w:p>
      <w:pPr>
        <w:pStyle w:val="WorksheetField"/>
        <w:widowControl/>
        <w:keepNext/>
      </w:pPr>
      <w:r>
        <w:rPr/>
        <w:t xml:space="preserve">Fecha inicial y días consumidos</w:t>
      </w:r>
    </w:p>
    <w:p>
      <w:pPr>
        <w:pStyle w:val="WorksheetBlank"/>
        <w:widowControl/>
      </w:pPr>
      <w:r>
        <w:rPr/>
        <w:t xml:space="preserve">________________________________________________________________________________</w:t>
      </w:r>
    </w:p>
    <w:p>
      <w:pPr>
        <w:pStyle w:val="WorksheetField"/>
        <w:widowControl/>
        <w:keepNext/>
      </w:pPr>
      <w:r>
        <w:rPr/>
        <w:t xml:space="preserve">Registro de la solicitud previa</w:t>
      </w:r>
    </w:p>
    <w:p>
      <w:pPr>
        <w:pStyle w:val="WorksheetBlank"/>
        <w:widowControl/>
      </w:pPr>
      <w:r>
        <w:rPr/>
        <w:t xml:space="preserve">________________________________________________________________________________</w:t>
      </w:r>
    </w:p>
    <w:p>
      <w:pPr>
        <w:pStyle w:val="WorksheetField"/>
        <w:widowControl/>
        <w:keepNext/>
      </w:pPr>
      <w:r>
        <w:rPr/>
        <w:t xml:space="preserve">Fecha del intento o hito de quince días hábiles</w:t>
      </w:r>
    </w:p>
    <w:p>
      <w:pPr>
        <w:pStyle w:val="WorksheetBlank"/>
        <w:widowControl/>
      </w:pPr>
      <w:r>
        <w:rPr/>
        <w:t xml:space="preserve">________________________________________________________________________________</w:t>
      </w:r>
    </w:p>
    <w:p>
      <w:pPr>
        <w:pStyle w:val="WorksheetField"/>
        <w:widowControl/>
        <w:keepNext/>
      </w:pPr>
      <w:r>
        <w:rPr/>
        <w:t xml:space="preserve">Saldo del plazo y vencimiento revisado</w:t>
      </w:r>
    </w:p>
    <w:p>
      <w:pPr>
        <w:pStyle w:val="WorksheetBlank"/>
        <w:widowControl/>
      </w:pPr>
      <w:r>
        <w:rPr/>
        <w:t xml:space="preserve">________________________________________________________________________________</w:t>
      </w:r>
    </w:p>
    <w:p>
      <w:pPr>
        <w:pStyle w:val="WorksheetField"/>
        <w:widowControl/>
        <w:keepNext/>
      </w:pPr>
      <w:r>
        <w:rPr/>
        <w:t xml:space="preserve">Acta o constancia del trámite y siguiente actuación</w:t>
      </w:r>
    </w:p>
    <w:p>
      <w:pPr>
        <w:pStyle w:val="WorksheetBlank"/>
        <w:widowControl/>
      </w:pPr>
      <w:r>
        <w:rPr/>
        <w:t xml:space="preserve">________________________________________________________________________________</w:t>
      </w:r>
    </w:p>
    <w:p>
      <w:pPr>
        <w:pStyle w:val="Normal"/>
        <w:widowControl/>
        <w:spacing w:after="65"/>
      </w:pPr>
      <w:r>
        <w:rPr/>
        <w:t xml:space="preserve">☐ He utilizado el órgano y formulario correctos, con la firma y representación necesarias.</w:t>
      </w:r>
    </w:p>
    <w:p>
      <w:pPr>
        <w:pStyle w:val="Normal"/>
        <w:widowControl/>
        <w:spacing w:after="65"/>
      </w:pPr>
      <w:r>
        <w:rPr/>
        <w:t xml:space="preserve">☐ He guardado contenido, anexos y justificante de registro.</w:t>
      </w:r>
    </w:p>
    <w:p>
      <w:pPr>
        <w:pStyle w:val="Normal"/>
        <w:widowControl/>
        <w:spacing w:after="65"/>
      </w:pPr>
      <w:r>
        <w:rPr/>
        <w:t xml:space="preserve">☐ He anotado la citación y previsto la asistencia o representación.</w:t>
      </w:r>
    </w:p>
    <w:p>
      <w:pPr>
        <w:pStyle w:val="Normal"/>
        <w:widowControl/>
        <w:spacing w:after="65"/>
      </w:pPr>
      <w:r>
        <w:rPr/>
        <w:t xml:space="preserve">☐ He revisado cuándo continúa el plazo y, si no hay acuerdo, la presentación de la demanda.</w:t>
      </w:r>
    </w:p>
    <w:p>
      <w:pPr>
        <w:pStyle w:val="Heading1"/>
        <w:widowControl/>
        <w:keepNext/>
      </w:pPr>
      <w:r>
        <w:rPr/>
        <w:t xml:space="preserve">Revisar la carta y preparar la actuación</w:t>
      </w:r>
    </w:p>
    <w:p>
      <w:pPr>
        <w:pStyle w:val="Normal"/>
        <w:widowControl/>
      </w:pPr>
      <w:r>
        <w:rPr/>
        <w:t xml:space="preserve">Para comprobar la vía, el plazo y la petición, consulta la </w:t>
      </w:r>
      <w:hyperlink r:id="rId16">
        <w:r>
          <w:rPr>
            <w:color w:val="0563C1"/>
            <w:u w:val="single"/>
          </w:rPr>
          <w:t xml:space="preserve">asistencia para impugnar una sanción laboral</w:t>
        </w:r>
      </w:hyperlink>
      <w:r>
        <w:rPr/>
        <w:t xml:space="preserve">. Si estás en la fase de responder a la empresa, dispones del </w:t>
      </w:r>
      <w:hyperlink r:id="rId17">
        <w:r>
          <w:rPr>
            <w:color w:val="0563C1"/>
            <w:u w:val="single"/>
          </w:rPr>
          <w:t xml:space="preserve">modelo de alegaciones internas</w:t>
        </w:r>
      </w:hyperlink>
      <w:r>
        <w:rPr/>
        <w:t xml:space="preserve">. La </w:t>
      </w:r>
      <w:hyperlink r:id="rId18">
        <w:r>
          <w:rPr>
            <w:color w:val="0563C1"/>
            <w:u w:val="single"/>
          </w:rPr>
          <w:t xml:space="preserve">guía de impugnación</w:t>
        </w:r>
      </w:hyperlink>
      <w:r>
        <w:rPr/>
        <w:t xml:space="preserve"> desarrolla las diferencias entre ambas actuaciones.</w:t>
      </w:r>
    </w:p>
    <w:p>
      <w:pPr>
        <w:pStyle w:val="Heading1"/>
        <w:widowControl/>
        <w:keepNext/>
      </w:pPr>
      <w:r>
        <w:rPr/>
        <w:t xml:space="preserve">Fuentes y alcance</w:t>
      </w:r>
    </w:p>
    <w:p>
      <w:pPr>
        <w:pStyle w:val="WorksheetSmall"/>
        <w:widowControl/>
      </w:pPr>
      <w:r>
        <w:rPr/>
        <w:t xml:space="preserve">Base legal: </w:t>
      </w:r>
      <w:hyperlink r:id="rId19">
        <w:r>
          <w:rPr>
            <w:color w:val="0563C1"/>
            <w:u w:val="single"/>
          </w:rPr>
          <w:t xml:space="preserve">LRJS, artículos 63–65</w:t>
        </w:r>
      </w:hyperlink>
      <w:r>
        <w:rPr/>
        <w:t xml:space="preserve">, </w:t>
      </w:r>
      <w:hyperlink r:id="rId20">
        <w:r>
          <w:rPr>
            <w:color w:val="0563C1"/>
            <w:u w:val="single"/>
          </w:rPr>
          <w:t xml:space="preserve">103 y 114–115</w:t>
        </w:r>
      </w:hyperlink>
      <w:r>
        <w:rPr/>
        <w:t xml:space="preserve">, y </w:t>
      </w:r>
      <w:hyperlink r:id="rId21">
        <w:r>
          <w:rPr>
            <w:color w:val="0563C1"/>
            <w:u w:val="single"/>
          </w:rPr>
          <w:t xml:space="preserve">artículo 58 ET</w:t>
        </w:r>
      </w:hyperlink>
      <w:r>
        <w:rPr/>
        <w:t xml:space="preserve">. La </w:t>
      </w:r>
      <w:hyperlink r:id="rId22">
        <w:r>
          <w:rPr>
            <w:color w:val="0563C1"/>
            <w:u w:val="single"/>
          </w:rPr>
          <w:t xml:space="preserve">STS 846/2025, FJ 3</w:t>
        </w:r>
      </w:hyperlink>
      <w:r>
        <w:rPr/>
        <w:t xml:space="preserve">, distingue la comunicación de la sanción de su cumplimiento posterior. La </w:t>
      </w:r>
      <w:hyperlink r:id="rId23">
        <w:r>
          <w:rPr>
            <w:color w:val="0563C1"/>
            <w:u w:val="single"/>
          </w:rPr>
          <w:t xml:space="preserve">STC 135/1996, FJ 5–6</w:t>
        </w:r>
      </w:hyperlink>
      <w:r>
        <w:rPr/>
        <w:t xml:space="preserve">, examina un procedimiento convencional específico de decisión provisional y definitiva; no atribuye suspensión general a cualquier escrito interno.</w:t>
      </w:r>
    </w:p>
    <w:p>
      <w:pPr>
        <w:pStyle w:val="WorksheetSmall"/>
        <w:widowControl/>
      </w:pPr>
      <w:r>
        <w:rPr/>
        <w:t xml:space="preserve">Información general preparada con fuentes consultadas el 19 de octubre de 2026. Su ámbito es la sanción disciplinaria empresarial de una persona trabajadora. El despido, las sanciones administrativas y el personal funcionario requieren su cauce propio. Esta hoja no determina un vencimiento individual ni garantiza el resultado.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000000"/>
        <w:sz w:val="18"/>
      </w:rPr>
      <w:t>PÉREZ &amp; BURGOS</w:t>
    </w:r>
    <w:r>
      <w:rPr>
        <w:rFonts w:ascii="Arial" w:hAnsi="Arial"/>
        <w:b/>
        <w:color w:val="000000"/>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sz w:val="31"/>
      <w:szCs w:val="28"/>
      <w:color w:val="000000"/>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sz w:val="25"/>
      <w:szCs w:val="26"/>
      <w:color w:val="00000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spacing w:val="5"/>
      <w:kern w:val="28"/>
      <w:sz w:val="42"/>
      <w:szCs w:val="52"/>
      <w:color w:val="00000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color w:val="00000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elNote">
    <w:name w:val="Model Note"/>
    <w:pPr>
      <w:spacing w:before="120" w:after="120"/>
      <w:ind w:left="202" w:right="202"/>
    </w:pPr>
    <w:rPr>
      <w:rFonts w:ascii="Aptos" w:hAnsi="Aptos"/>
      <w:color w:val="5C6970"/>
      <w:sz w:val="19"/>
    </w:rPr>
  </w:style>
  <w:style w:type="paragraph" w:styleId="WorksheetField">
    <w:name w:val="WorksheetField"/>
    <w:basedOn w:val="Normal"/>
    <w:next w:val="Normal"/>
    <w:pPr>
      <w:spacing w:before="80" w:after="40" w:line="269" w:lineRule="auto"/>
    </w:pPr>
    <w:rPr>
      <w:sz w:val="20"/>
      <w:b/>
    </w:rPr>
  </w:style>
  <w:style w:type="paragraph" w:styleId="WorksheetBlank">
    <w:name w:val="WorksheetBlank"/>
    <w:basedOn w:val="Normal"/>
    <w:next w:val="Normal"/>
    <w:pPr>
      <w:spacing w:before="0" w:after="85" w:line="269" w:lineRule="auto"/>
    </w:pPr>
    <w:rPr>
      <w:sz w:val="20"/>
      <w:color w:val="68777D"/>
    </w:rPr>
  </w:style>
  <w:style w:type="paragraph" w:styleId="WorksheetSmall">
    <w:name w:val="WorksheetSmall"/>
    <w:basedOn w:val="Normal"/>
    <w:next w:val="Normal"/>
    <w:pPr>
      <w:spacing w:before="0" w:after="80" w:line="269" w:lineRule="auto"/>
    </w:pPr>
    <w:rPr>
      <w:sz w:val="18"/>
    </w:rPr>
  </w:style>
  <w:style w:type="paragraph" w:styleId="WorksheetTable">
    <w:name w:val="WorksheetTable"/>
    <w:basedOn w:val="Normal"/>
    <w:next w:val="Normal"/>
    <w:pPr>
      <w:spacing w:before="0" w:after="50" w:line="269" w:lineRule="auto"/>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1-15936#a71" TargetMode="External"/><Relationship Id="rId12" Type="http://schemas.openxmlformats.org/officeDocument/2006/relationships/hyperlink" Target="https://www.boe.es/buscar/act.php?id=BOE-A-2015-11724#a193" TargetMode="External"/><Relationship Id="rId13" Type="http://schemas.openxmlformats.org/officeDocument/2006/relationships/hyperlink" Target="https://www.seg-social.es/wps/portal/wss/internet/Pensionistas/Servicios/34887/40968/41025/enl51116?changeLanguage=es" TargetMode="External"/><Relationship Id="rId14" Type="http://schemas.openxmlformats.org/officeDocument/2006/relationships/hyperlink" Target="https://www.juntadeandalucia.es/organismos/empleoempresaytrabajoautonomo/areas/relaciones-laborales/organos-dialogo/carl/sercla/procedimientos-formularios.html" TargetMode="External"/><Relationship Id="rId15" Type="http://schemas.openxmlformats.org/officeDocument/2006/relationships/hyperlink" Target="https://www.juntadeandalucia.es/boja/2026/112/45" TargetMode="External"/><Relationship Id="rId16" Type="http://schemas.openxmlformats.org/officeDocument/2006/relationships/hyperlink" Target="https://perezburgosabogados.es/servicios/impugnar-sancion-laboral/" TargetMode="External"/><Relationship Id="rId17" Type="http://schemas.openxmlformats.org/officeDocument/2006/relationships/hyperlink" Target="https://perezburgosabogados.es/modelo-laboral-alegaciones-sancion-laboral/" TargetMode="External"/><Relationship Id="rId18" Type="http://schemas.openxmlformats.org/officeDocument/2006/relationships/hyperlink" Target="https://perezburgosabogados.es/impugnar-sancion-laboral/" TargetMode="External"/><Relationship Id="rId19" Type="http://schemas.openxmlformats.org/officeDocument/2006/relationships/hyperlink" Target="https://www.boe.es/buscar/act.php?id=BOE-A-2011-15936#a65" TargetMode="External"/><Relationship Id="rId20" Type="http://schemas.openxmlformats.org/officeDocument/2006/relationships/hyperlink" Target="https://www.boe.es/buscar/act.php?id=BOE-A-2011-15936#a114" TargetMode="External"/><Relationship Id="rId21" Type="http://schemas.openxmlformats.org/officeDocument/2006/relationships/hyperlink" Target="https://www.boe.es/buscar/act.php?id=BOE-A-2015-11430#a58" TargetMode="External"/><Relationship Id="rId22" Type="http://schemas.openxmlformats.org/officeDocument/2006/relationships/hyperlink" Target="https://www.poderjudicial.es/search/openDocument/11b515e436b26c80a0a8778d75e36f0d" TargetMode="External"/><Relationship Id="rId23" Type="http://schemas.openxmlformats.org/officeDocument/2006/relationships/hyperlink" Target="https://hj.tribunalconstitucional.es/es/Resolucion/Show/3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 la impugnación de una sanción laboral</dc:title>
  <dc:subject>Hoja de preparación para el formulario oficial competente</dc:subject>
  <dc:creator>Pérez &amp; Burgos Abogados</dc:creator>
  <cp:keywords/>
  <dc:description>Modelo jurídico editable de Pérez &amp; Burgos Abogados</dc:description>
  <cp:lastModifiedBy>Pérez &amp; Burgos Abogados</cp:lastModifiedBy>
  <cp:revision>1</cp:revision>
  <dcterms:created xsi:type="dcterms:W3CDTF">2013-12-23T23:15:00Z</dcterms:created>
  <dcterms:modified xsi:type="dcterms:W3CDTF">2013-12-23T23:15:00Z</dcterms:modified>
  <cp:category/>
</cp:coreProperties>
</file>