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keepLines/>
        <w:keepNext/>
      </w:pPr>
      <w:r>
        <w:rPr>
          <w:rFonts w:ascii="Arial" w:hAnsi="Arial"/>
          <w:sz w:val="28"/>
          <w:color w:val="000000"/>
          <w:b/>
        </w:rPr>
        <w:t xml:space="preserve">Registro de prueba digital para conflictos civiles</w:t>
      </w:r>
    </w:p>
    <w:p>
      <w:pPr>
        <w:jc w:val="left"/>
        <w:spacing w:after="40"/>
      </w:pPr>
      <w:r>
        <w:rPr>
          <w:rFonts w:ascii="Arial" w:hAnsi="Arial"/>
          <w:sz w:val="20"/>
          <w:color w:val="263A43"/>
        </w:rPr>
        <w:t xml:space="preserve">Completa solo datos comprobados y duplica los registros que necesites.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Uso:</w:t>
      </w:r>
      <w:r>
        <w:rPr>
          <w:rFonts w:ascii="Arial" w:hAnsi="Arial"/>
          <w:sz w:val="20"/>
          <w:color w:val="263A43"/>
        </w:rPr>
        <w:t xml:space="preserve"> preparar una consulta, acta, pericial o actuación jurídica. El registro organiza hechos y procedencia; no certifica por sí solo autenticidad o autoría. La guía </w:t>
      </w:r>
      <w:hyperlink r:id="rIdLibrary15">
        <w:r>
          <w:rPr>
            <w:rFonts w:ascii="Arial" w:hAnsi="Arial"/>
            <w:sz w:val="20"/>
            <w:color w:val="397CDD"/>
          </w:rPr>
          <w:t xml:space="preserve">Prueba digital: capturas, chats, acta y pericial</w:t>
        </w:r>
      </w:hyperlink>
      <w:r>
        <w:rPr>
          <w:rFonts w:ascii="Arial" w:hAnsi="Arial"/>
          <w:sz w:val="20"/>
          <w:color w:val="263A43"/>
        </w:rPr>
        <w:t xml:space="preserve"> explica las diferencias entre captura, documento, acta y análisis técnico.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Modo de trabajo:</w:t>
      </w:r>
      <w:r>
        <w:rPr>
          <w:rFonts w:ascii="Arial" w:hAnsi="Arial"/>
          <w:sz w:val="20"/>
          <w:color w:val="263A43"/>
        </w:rPr>
        <w:t xml:space="preserve"> conservar originales y separar copias de consulta; registrar recortes y anotaciones como tales; mantener las fechas y el contexto de la conversación; no entrar en cuentas ajenas ni pedir a terceros que lo hagan. La ausencia de contexto se anota en vez de rellenarla con una reconstrucción. Si el contenido es íntimo o afecta a un menor, limitar acceso y circulación y solicitar el medio de aportación adecuado.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Cuestiones que debe resolver la revisión profesional:</w:t>
      </w:r>
      <w:r>
        <w:rPr>
          <w:rFonts w:ascii="Arial" w:hAnsi="Arial"/>
          <w:sz w:val="20"/>
          <w:color w:val="263A43"/>
        </w:rPr>
        <w:t xml:space="preserve"> qué prueba el material, qué se discute, si hace falta reforzar constancia o autenticidad, qué datos deben ocultarse en una copia y quién puede ser requerido legítimamente para aportar información. Fuentes generales: </w:t>
      </w:r>
      <w:hyperlink r:id="rIdLibrary16">
        <w:r>
          <w:rPr>
            <w:rFonts w:ascii="Arial" w:hAnsi="Arial"/>
            <w:sz w:val="20"/>
            <w:color w:val="397CDD"/>
          </w:rPr>
          <w:t xml:space="preserve">LEC, artículos 287, 299 y 382–384</w:t>
        </w:r>
      </w:hyperlink>
      <w:r>
        <w:rPr>
          <w:rFonts w:ascii="Arial" w:hAnsi="Arial"/>
          <w:sz w:val="20"/>
          <w:color w:val="263A43"/>
        </w:rPr>
        <w:t xml:space="preserve">; fuentes específicas y jurisprudencia en la guía </w:t>
      </w:r>
      <w:hyperlink r:id="rIdLibrary17">
        <w:r>
          <w:rPr>
            <w:rFonts w:ascii="Arial" w:hAnsi="Arial"/>
            <w:sz w:val="20"/>
            <w:color w:val="397CDD"/>
          </w:rPr>
          <w:t xml:space="preserve">Prueba digital: capturas, chats, acta y pericial</w:t>
        </w:r>
      </w:hyperlink>
      <w:r>
        <w:rPr>
          <w:rFonts w:ascii="Arial" w:hAnsi="Arial"/>
          <w:sz w:val="20"/>
          <w:color w:val="263A43"/>
        </w:rPr>
        <w:t xml:space="preserve">.</w:t>
      </w:r>
    </w:p>
    <w:p>
      <w:pPr>
        <w:pStyle w:val="Heading1"/>
        <w:jc w:val="left"/>
        <w:keepLines/>
        <w:keepNext/>
      </w:pPr>
      <w:r>
        <w:rPr>
          <w:rFonts w:ascii="Arial" w:hAnsi="Arial"/>
          <w:sz w:val="22"/>
          <w:color w:val="000000"/>
          <w:b/>
        </w:rPr>
        <w:t xml:space="preserve">Datos del asunto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</w:rPr>
        <w:t xml:space="preserve">- Objetivo de la persona afectada: </w:t>
      </w:r>
      <w:r>
        <w:rPr>
          <w:rFonts w:ascii="Arial" w:hAnsi="Arial"/>
          <w:sz w:val="20"/>
          <w:color w:val="397CDD"/>
          <w:b/>
          <w:shd w:fill="E8F0FB"/>
        </w:rPr>
        <w:t xml:space="preserve">[retirada, protección, rectificación, recuperación de cuenta, reparación u otro]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</w:rPr>
        <w:t xml:space="preserve">- Primera publicación o difusión conocida: </w:t>
      </w:r>
      <w:r>
        <w:rPr>
          <w:rFonts w:ascii="Arial" w:hAnsi="Arial"/>
          <w:sz w:val="20"/>
          <w:color w:val="397CDD"/>
          <w:b/>
          <w:shd w:fill="E8F0FB"/>
        </w:rPr>
        <w:t xml:space="preserve">[fecha, hora y zona horaria, si es relevante; documento que permite comprobarla]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</w:rPr>
        <w:t xml:space="preserve">- Primera fecha en que conoció los hechos: </w:t>
      </w:r>
      <w:r>
        <w:rPr>
          <w:rFonts w:ascii="Arial" w:hAnsi="Arial"/>
          <w:sz w:val="20"/>
          <w:color w:val="397CDD"/>
          <w:b/>
          <w:shd w:fill="E8F0FB"/>
        </w:rPr>
        <w:t xml:space="preserve">[fecha, hora, zona horaria si importa y cómo lo supo; puede ser distinta de la publicación]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</w:rPr>
        <w:t xml:space="preserve">- Personas o cuentas implicadas: </w:t>
      </w:r>
      <w:r>
        <w:rPr>
          <w:rFonts w:ascii="Arial" w:hAnsi="Arial"/>
          <w:sz w:val="20"/>
          <w:color w:val="397CDD"/>
          <w:b/>
          <w:shd w:fill="E8F0FB"/>
        </w:rPr>
        <w:t xml:space="preserve">[identificador público y relación conocida; separar lo confirmado de las sospechas]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</w:rPr>
        <w:t xml:space="preserve">- Riesgo actual que requiere atención: </w:t>
      </w:r>
      <w:r>
        <w:rPr>
          <w:rFonts w:ascii="Arial" w:hAnsi="Arial"/>
          <w:sz w:val="20"/>
          <w:color w:val="397CDD"/>
          <w:b/>
          <w:shd w:fill="E8F0FB"/>
        </w:rPr>
        <w:t xml:space="preserve">[hecho concreto o indicar que no se ha identificado]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pStyle w:val="Heading2"/>
        <w:jc w:val="left"/>
        <w:keepLines/>
        <w:keepNext/>
      </w:pPr>
      <w:r>
        <w:rPr>
          <w:rFonts w:ascii="Arial" w:hAnsi="Arial"/>
          <w:sz w:val="21"/>
          <w:color w:val="000000"/>
          <w:b/>
        </w:rPr>
        <w:t xml:space="preserve">Registro 1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ID de evidencia:</w:t>
      </w:r>
      <w:r>
        <w:rPr>
          <w:rFonts w:ascii="Arial" w:hAnsi="Arial"/>
          <w:sz w:val="20"/>
          <w:color w:val="263A43"/>
        </w:rPr>
        <w:t xml:space="preserve"> E001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URL o localización: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[referencia]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Fecha del hecho / de la captura y zona horaria relevante: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[fechas]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Qué muestra: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[descripción]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Cómo se obtuvo lícitamente: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[recepción, acceso propio u otra procedencia]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Archivo original conservado: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[ubicación controlada]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Contexto que falta: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[hilo, mensajes anteriores u otro]</w:t>
      </w:r>
    </w:p>
    <w:p>
      <w:pPr>
        <w:pStyle w:val="Heading2"/>
        <w:jc w:val="left"/>
        <w:keepLines/>
        <w:keepNext/>
      </w:pPr>
      <w:r>
        <w:rPr>
          <w:rFonts w:ascii="Arial" w:hAnsi="Arial"/>
          <w:sz w:val="21"/>
          <w:color w:val="000000"/>
          <w:b/>
        </w:rPr>
        <w:t xml:space="preserve">Registro 2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ID de evidencia:</w:t>
      </w:r>
      <w:r>
        <w:rPr>
          <w:rFonts w:ascii="Arial" w:hAnsi="Arial"/>
          <w:sz w:val="20"/>
          <w:color w:val="263A43"/>
        </w:rPr>
        <w:t xml:space="preserve"> E002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URL o localización: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[referencia]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Fecha del hecho / de la captura y zona horaria relevante: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[fechas]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Qué muestra: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[descripción]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Cómo se obtuvo lícitamente: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[procedencia]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Archivo original conservado: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[ubicación]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Contexto que falta: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[dato]</w:t>
      </w:r>
    </w:p>
    <w:p>
      <w:pPr>
        <w:pStyle w:val="Heading1"/>
        <w:jc w:val="left"/>
        <w:keepLines/>
        <w:keepNext/>
      </w:pPr>
      <w:r>
        <w:rPr>
          <w:rFonts w:ascii="Arial" w:hAnsi="Arial"/>
          <w:sz w:val="22"/>
          <w:color w:val="000000"/>
          <w:b/>
        </w:rPr>
        <w:t xml:space="preserve">Registro de actuaciones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Fecha: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[fecha]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Actuación: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[reporte, solicitud, cambio de credenciales, consulta]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Destinatario: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[destinatario]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Acuse o referencia: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[referencia]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Resultado: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[respuesta]</w:t>
      </w:r>
    </w:p>
    <w:p>
      <w:pPr>
        <w:jc w:val="left"/>
        <w:keepLines/>
        <w:spacing w:after="40"/>
      </w:pPr>
      <w:r>
        <w:rPr>
          <w:rFonts w:ascii="Arial" w:hAnsi="Arial"/>
          <w:sz w:val="20"/>
          <w:color w:val="263A43"/>
          <w:b/>
        </w:rPr>
        <w:t xml:space="preserve">Siguiente decisión: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[acción a valorar]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perezburgosabogados.es/probar-publicaciones-chats-capturas-acta-pericial/" TargetMode="External"/><Relationship Id="rIdLibrary16" Type="http://schemas.openxmlformats.org/officeDocument/2006/relationships/hyperlink" Target="https://www.boe.es/buscar/act.php?id=BOE-A-2000-323" TargetMode="External"/><Relationship Id="rIdLibrary17" Type="http://schemas.openxmlformats.org/officeDocument/2006/relationships/hyperlink" Target="https://perezburgosabogados.es/probar-publicaciones-chats-capturas-acta-peri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prueba digital para conflictos civiles</dc:title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