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keepNext/>
        <w:keepLines/>
        <w:spacing w:before="120" w:after="90" w:line="270" w:lineRule="auto"/>
        <w:pBdr>
          <w:bottom w:val="nil"/>
        </w:pBdr>
        <w:jc w:val="left"/>
      </w:pPr>
      <w:r>
        <w:rPr>
          <w:rFonts w:ascii="Liberation Sans" w:hAnsi="Liberation Sans" w:eastAsia="Liberation Sans"/>
          <w:sz w:val="42"/>
          <w:b/>
          <w:color w:val="000000"/>
        </w:rPr>
        <w:t xml:space="preserve">Ficha de revisión de justicia gratuita</w:t>
      </w:r>
    </w:p>
    <w:p>
      <w:pPr>
        <w:widowControl/>
        <w:spacing w:before="0" w:after="65" w:line="270" w:lineRule="auto"/>
        <w:jc w:val="both"/>
      </w:pPr>
      <w:r>
        <w:rPr>
          <w:rFonts w:ascii="Liberation Sans" w:hAnsi="Liberation Sans" w:eastAsia="Liberation Sans"/>
          <w:sz w:val="21"/>
        </w:rPr>
        <w:t xml:space="preserve">Resumen privado para ordenar una resolución, su motivo, la prueba y la actuación pendiente. No es un escrito de impugnación.</w:t>
      </w:r>
    </w:p>
    <w:p>
      <w:pPr>
        <w:widowControl/>
        <w:spacing w:before="0" w:after="65" w:line="270" w:lineRule="auto"/>
        <w:jc w:val="left"/>
      </w:pPr>
      <w:r>
        <w:rPr>
          <w:rFonts w:ascii="Liberation Sans" w:hAnsi="Liberation Sans" w:eastAsia="Liberation Sans"/>
          <w:sz w:val="21"/>
        </w:rPr>
        <w:t xml:space="preserve">Persona interesada: </w:t>
      </w:r>
      <w:r>
        <w:rPr>
          <w:rFonts w:ascii="Liberation Sans" w:hAnsi="Liberation Sans" w:eastAsia="Liberation Sans"/>
          <w:sz w:val="21"/>
          <w:b/>
          <w:color w:val="2F80ED"/>
          <w:shd w:val="clear" w:fill="EAF1FB"/>
        </w:rPr>
        <w:t xml:space="preserve">[NOMBRE O REFERENCIA]</w:t>
      </w:r>
      <w:r>
        <w:rPr>
          <w:rFonts w:ascii="Liberation Sans" w:hAnsi="Liberation Sans" w:eastAsia="Liberation Sans"/>
          <w:sz w:val="21"/>
        </w:rPr>
        <w:t xml:space="preserve">. Expediente y Comisión/Colegio: </w:t>
      </w:r>
      <w:r>
        <w:rPr>
          <w:rFonts w:ascii="Liberation Sans" w:hAnsi="Liberation Sans" w:eastAsia="Liberation Sans"/>
          <w:sz w:val="21"/>
          <w:b/>
          <w:color w:val="2F80ED"/>
          <w:shd w:val="clear" w:fill="EAF1FB"/>
        </w:rPr>
        <w:t xml:space="preserve">[NÚMERO, ÓRGANO Y TERRITORIO]</w:t>
      </w:r>
      <w:r>
        <w:rPr>
          <w:rFonts w:ascii="Liberation Sans" w:hAnsi="Liberation Sans" w:eastAsia="Liberation Sans"/>
          <w:sz w:val="21"/>
        </w:rPr>
        <w:t xml:space="preserve">. Procedimiento relacionado: </w:t>
      </w:r>
      <w:r>
        <w:rPr>
          <w:rFonts w:ascii="Liberation Sans" w:hAnsi="Liberation Sans" w:eastAsia="Liberation Sans"/>
          <w:sz w:val="21"/>
          <w:b/>
          <w:color w:val="2F80ED"/>
          <w:shd w:val="clear" w:fill="EAF1FB"/>
        </w:rPr>
        <w:t xml:space="preserve">[ÓRGANO Y REFERENCIA; O NO INICIADO]</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Documento recibido: </w:t>
      </w:r>
      <w:r>
        <w:rPr>
          <w:rFonts w:ascii="Liberation Sans" w:hAnsi="Liberation Sans" w:eastAsia="Liberation Sans"/>
          <w:sz w:val="21"/>
          <w:b/>
          <w:color w:val="2F80ED"/>
          <w:shd w:val="clear" w:fill="EAF1FB"/>
        </w:rPr>
        <w:t xml:space="preserve">[TÍTULO LITERAL, EMISOR Y FECHA]</w:t>
      </w:r>
      <w:r>
        <w:rPr>
          <w:rFonts w:ascii="Liberation Sans" w:hAnsi="Liberation Sans" w:eastAsia="Liberation Sans"/>
          <w:sz w:val="21"/>
        </w:rPr>
        <w:t xml:space="preserve">. Qué acuerda: </w:t>
      </w:r>
      <w:r>
        <w:rPr>
          <w:rFonts w:ascii="Liberation Sans" w:hAnsi="Liberation Sans" w:eastAsia="Liberation Sans"/>
          <w:sz w:val="21"/>
          <w:b/>
          <w:color w:val="2F80ED"/>
          <w:shd w:val="clear" w:fill="EAF1FB"/>
        </w:rPr>
        <w:t xml:space="preserve">[SUBSANACIÓN/ARCHIVO/NO DESIGNACIÓN PROVISIONAL/RESOLUCIÓN DEFINITIVA/INSOSTENIBILIDAD/CLASIFICACIÓN PENDIENTE]</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Notificación o conocimiento: </w:t>
      </w:r>
      <w:r>
        <w:rPr>
          <w:rFonts w:ascii="Liberation Sans" w:hAnsi="Liberation Sans" w:eastAsia="Liberation Sans"/>
          <w:sz w:val="21"/>
          <w:b/>
          <w:color w:val="2F80ED"/>
          <w:shd w:val="clear" w:fill="EAF1FB"/>
        </w:rPr>
        <w:t xml:space="preserve">[FECHA, MEDIO, PERSONA Y JUSTIFICANTE]</w:t>
      </w:r>
      <w:r>
        <w:rPr>
          <w:rFonts w:ascii="Liberation Sans" w:hAnsi="Liberation Sans" w:eastAsia="Liberation Sans"/>
          <w:sz w:val="21"/>
        </w:rPr>
        <w:t xml:space="preserve">. Plazo que consta y fuente de su comprobación: </w:t>
      </w:r>
      <w:r>
        <w:rPr>
          <w:rFonts w:ascii="Liberation Sans" w:hAnsi="Liberation Sans" w:eastAsia="Liberation Sans"/>
          <w:sz w:val="21"/>
          <w:b/>
          <w:color w:val="2F80ED"/>
          <w:shd w:val="clear" w:fill="EAF1FB"/>
        </w:rPr>
        <w:t xml:space="preserve">[PLAZO Y DOCUMENTO; O PENDIENTE]</w:t>
      </w:r>
      <w:r>
        <w:rPr>
          <w:rFonts w:ascii="Liberation Sans" w:hAnsi="Liberation Sans" w:eastAsia="Liberation Sans"/>
          <w:sz w:val="21"/>
        </w:rPr>
        <w:t xml:space="preserve">.</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Motivo, hecho y prueba</w:t>
      </w:r>
    </w:p>
    <w:p>
      <w:pPr>
        <w:widowControl/>
        <w:spacing w:before="0" w:after="65" w:line="270" w:lineRule="auto"/>
        <w:jc w:val="left"/>
      </w:pPr>
      <w:r>
        <w:rPr>
          <w:rFonts w:ascii="Liberation Sans" w:hAnsi="Liberation Sans" w:eastAsia="Liberation Sans"/>
          <w:sz w:val="21"/>
        </w:rPr>
        <w:t xml:space="preserve">Motivo literal de la decisión: </w:t>
      </w:r>
      <w:r>
        <w:rPr>
          <w:rFonts w:ascii="Liberation Sans" w:hAnsi="Liberation Sans" w:eastAsia="Liberation Sans"/>
          <w:sz w:val="21"/>
          <w:b/>
          <w:color w:val="2F80ED"/>
          <w:shd w:val="clear" w:fill="EAF1FB"/>
        </w:rPr>
        <w:t xml:space="preserve">[TRANSCRIPCIÓN DEL PÁRRAFO RELEVANTE Y PÁGINA]</w:t>
      </w:r>
      <w:r>
        <w:rPr>
          <w:rFonts w:ascii="Liberation Sans" w:hAnsi="Liberation Sans" w:eastAsia="Liberation Sans"/>
          <w:sz w:val="21"/>
        </w:rPr>
        <w:t xml:space="preserve">. Supuesto de acceso alegado: </w:t>
      </w:r>
      <w:r>
        <w:rPr>
          <w:rFonts w:ascii="Liberation Sans" w:hAnsi="Liberation Sans" w:eastAsia="Liberation Sans"/>
          <w:sz w:val="21"/>
          <w:b/>
          <w:color w:val="2F80ED"/>
          <w:shd w:val="clear" w:fill="EAF1FB"/>
        </w:rPr>
        <w:t xml:space="preserve">[ECONÓMICO/ESPECIAL/EXCEPCIONAL/PENDIENTE; DOCUMENTO QUE LO EXPLICA]</w:t>
      </w:r>
      <w:r>
        <w:rPr>
          <w:rFonts w:ascii="Liberation Sans" w:hAnsi="Liberation Sans" w:eastAsia="Liberation Sans"/>
          <w:sz w:val="21"/>
        </w:rPr>
        <w:t xml:space="preserve">.</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2375"/>
        <w:gridCol w:w="2375"/>
        <w:gridCol w:w="4750"/>
      </w:tblGrid>
      <w:tr>
        <w:trPr>
          <w:cantSplit/>
          <w:tblHeader/>
        </w:trPr>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Dato discutido</w:t>
            </w:r>
          </w:p>
        </w:tc>
        <w:tc>
          <w:tcPr>
            <w:tcW w:w="2375" w:type="dxa"/>
            <w:vAlign w:val="center"/>
            <w:shd w:fill="1A354D"/>
          </w:tcPr>
          <w:p>
            <w:pPr>
              <w:widowControl/>
              <w:spacing w:before="0" w:after="35" w:line="270" w:lineRule="auto"/>
              <w:jc w:val="left"/>
            </w:pPr>
            <w:r>
              <w:rPr>
                <w:rFonts w:ascii="Liberation Sans" w:hAnsi="Liberation Sans" w:eastAsia="Liberation Sans"/>
                <w:sz w:val="20"/>
                <w:b/>
                <w:color w:val="FFFFFF"/>
              </w:rPr>
              <w:t>Explicación concreta</w:t>
            </w:r>
          </w:p>
        </w:tc>
        <w:tc>
          <w:tcPr>
            <w:tcW w:w="4750" w:type="dxa"/>
            <w:vAlign w:val="center"/>
            <w:shd w:fill="1A354D"/>
          </w:tcPr>
          <w:p>
            <w:pPr>
              <w:widowControl/>
              <w:spacing w:before="0" w:after="35" w:line="270" w:lineRule="auto"/>
              <w:jc w:val="left"/>
            </w:pPr>
            <w:r>
              <w:rPr>
                <w:rFonts w:ascii="Liberation Sans" w:hAnsi="Liberation Sans" w:eastAsia="Liberation Sans"/>
                <w:sz w:val="20"/>
                <w:b/>
                <w:color w:val="FFFFFF"/>
              </w:rPr>
              <w:t>Documento y pendiente</w:t>
            </w:r>
          </w:p>
        </w:tc>
      </w:tr>
      <w:tr>
        <w:trPr>
          <w:cantSplit/>
        </w:trPr>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[CONCEPTO, PERSONA, EJERCICIO O CUESTIÓN]</w:t>
            </w:r>
          </w:p>
        </w:tc>
        <w:tc>
          <w:tcPr>
            <w:tcW w:w="2375"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[QUÉ SE DISCUTE Y POR QUÉ]</w:t>
            </w:r>
          </w:p>
        </w:tc>
        <w:tc>
          <w:tcPr>
            <w:tcW w:w="4750"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[REFERENCIA, FECHA Y QUÉ ACREDITA; O DOCUMENTO QUE FALTA]</w:t>
            </w:r>
          </w:p>
        </w:tc>
      </w:tr>
      <w:tr>
        <w:trPr>
          <w:cantSplit/>
        </w:trPr>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[SEGUNDO DATO O CUESTIÓN]</w:t>
            </w:r>
          </w:p>
        </w:tc>
        <w:tc>
          <w:tcPr>
            <w:tcW w:w="2375"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[EXPLICACIÓN]</w:t>
            </w:r>
          </w:p>
        </w:tc>
        <w:tc>
          <w:tcPr>
            <w:tcW w:w="4750"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[PRUEBA Y PENDIENTE]</w:t>
            </w:r>
          </w:p>
        </w:tc>
      </w:tr>
    </w:tbl>
    <w:p>
      <w:pPr>
        <w:pStyle w:val="Heading2"/>
        <w:widowControl/>
        <w:keepNext/>
        <w:keepLines/>
        <w:spacing w:before="120" w:after="90" w:line="270" w:lineRule="auto"/>
        <w:jc w:val="left"/>
      </w:pPr>
      <w:r>
        <w:rPr>
          <w:rFonts w:ascii="Liberation Sans" w:hAnsi="Liberation Sans" w:eastAsia="Liberation Sans"/>
          <w:sz w:val="25"/>
          <w:b/>
          <w:color w:val="000000"/>
        </w:rPr>
        <w:t xml:space="preserve">Actuación próxima y recorrido oficial</w:t>
      </w:r>
    </w:p>
    <w:p>
      <w:pPr>
        <w:widowControl/>
        <w:spacing w:before="0" w:after="65" w:line="270" w:lineRule="auto"/>
        <w:jc w:val="left"/>
      </w:pPr>
      <w:r>
        <w:rPr>
          <w:rFonts w:ascii="Liberation Sans" w:hAnsi="Liberation Sans" w:eastAsia="Liberation Sans"/>
          <w:sz w:val="21"/>
        </w:rPr>
        <w:t xml:space="preserve">Citación, requerimiento o recurso pendiente: </w:t>
      </w:r>
      <w:r>
        <w:rPr>
          <w:rFonts w:ascii="Liberation Sans" w:hAnsi="Liberation Sans" w:eastAsia="Liberation Sans"/>
          <w:sz w:val="21"/>
          <w:b/>
          <w:color w:val="2F80ED"/>
          <w:shd w:val="clear" w:fill="EAF1FB"/>
        </w:rPr>
        <w:t xml:space="preserve">[ACTUACIÓN Y FECHA QUE CONSTAN; O PENDIENTE]</w:t>
      </w:r>
      <w:r>
        <w:rPr>
          <w:rFonts w:ascii="Liberation Sans" w:hAnsi="Liberation Sans" w:eastAsia="Liberation Sans"/>
          <w:sz w:val="21"/>
        </w:rPr>
        <w:t xml:space="preserve">. Profesional o servicio avisado: </w:t>
      </w:r>
      <w:r>
        <w:rPr>
          <w:rFonts w:ascii="Liberation Sans" w:hAnsi="Liberation Sans" w:eastAsia="Liberation Sans"/>
          <w:sz w:val="21"/>
          <w:b/>
          <w:color w:val="2F80ED"/>
          <w:shd w:val="clear" w:fill="EAF1FB"/>
        </w:rPr>
        <w:t xml:space="preserve">[CONTACTO, FECHA Y RESPUESTA]</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Medida procesal solicitada, si existe: </w:t>
      </w:r>
      <w:r>
        <w:rPr>
          <w:rFonts w:ascii="Liberation Sans" w:hAnsi="Liberation Sans" w:eastAsia="Liberation Sans"/>
          <w:sz w:val="21"/>
          <w:b/>
          <w:color w:val="2F80ED"/>
          <w:shd w:val="clear" w:fill="EAF1FB"/>
        </w:rPr>
        <w:t xml:space="preserve">[QUÉ SE PIDIÓ Y JUSTIFICANTE]</w:t>
      </w:r>
      <w:r>
        <w:rPr>
          <w:rFonts w:ascii="Liberation Sans" w:hAnsi="Liberation Sans" w:eastAsia="Liberation Sans"/>
          <w:sz w:val="21"/>
        </w:rPr>
        <w:t xml:space="preserve">. Decisión recibida: </w:t>
      </w:r>
      <w:r>
        <w:rPr>
          <w:rFonts w:ascii="Liberation Sans" w:hAnsi="Liberation Sans" w:eastAsia="Liberation Sans"/>
          <w:sz w:val="21"/>
          <w:b/>
          <w:color w:val="2F80ED"/>
          <w:shd w:val="clear" w:fill="EAF1FB"/>
        </w:rPr>
        <w:t xml:space="preserve">[RESOLUCIÓN Y FECHA; O PENDIENTE]</w:t>
      </w:r>
      <w:r>
        <w:rPr>
          <w:rFonts w:ascii="Liberation Sans" w:hAnsi="Liberation Sans" w:eastAsia="Liberation Sans"/>
          <w:sz w:val="21"/>
        </w:rPr>
        <w:t xml:space="preserve">.</w:t>
      </w:r>
    </w:p>
    <w:p>
      <w:pPr>
        <w:widowControl/>
        <w:spacing w:before="0" w:after="65" w:line="270" w:lineRule="auto"/>
        <w:jc w:val="left"/>
      </w:pPr>
      <w:r>
        <w:rPr>
          <w:rFonts w:ascii="Liberation Sans" w:hAnsi="Liberation Sans" w:eastAsia="Liberation Sans"/>
          <w:sz w:val="21"/>
        </w:rPr>
        <w:t xml:space="preserve">Actuación sobre justicia gratuita realizada por el cauce oficial: </w:t>
      </w:r>
      <w:r>
        <w:rPr>
          <w:rFonts w:ascii="Liberation Sans" w:hAnsi="Liberation Sans" w:eastAsia="Liberation Sans"/>
          <w:sz w:val="21"/>
          <w:b/>
          <w:color w:val="2F80ED"/>
          <w:shd w:val="clear" w:fill="EAF1FB"/>
        </w:rPr>
        <w:t xml:space="preserve">[SUBSANACIÓN/IMPUGNACIÓN/OTRA; ÓRGANO, FECHA Y JUSTIFICANTE; O TODAVÍA NO PRESENTADA]</w:t>
      </w:r>
      <w:r>
        <w:rPr>
          <w:rFonts w:ascii="Liberation Sans" w:hAnsi="Liberation Sans" w:eastAsia="Liberation Sans"/>
          <w:sz w:val="21"/>
        </w:rPr>
        <w:t xml:space="preserve">. Documentos por obtener y siguiente paso: </w:t>
      </w:r>
      <w:r>
        <w:rPr>
          <w:rFonts w:ascii="Liberation Sans" w:hAnsi="Liberation Sans" w:eastAsia="Liberation Sans"/>
          <w:sz w:val="21"/>
          <w:b/>
          <w:color w:val="2F80ED"/>
          <w:shd w:val="clear" w:fill="EAF1FB"/>
        </w:rPr>
        <w:t xml:space="preserve">[DOCUMENTO, A QUIÉN SE SOLICITA Y ACTUACIÓN PENDIENTE]</w:t>
      </w:r>
      <w:r>
        <w:rPr>
          <w:rFonts w:ascii="Liberation Sans" w:hAnsi="Liberation Sans" w:eastAsia="Liberation Sans"/>
          <w:sz w:val="21"/>
        </w:rPr>
        <w:t xml:space="preserve">.</w:t>
      </w:r>
    </w:p>
    <w:p>
      <w:pPr>
        <w:pStyle w:val="Heading2"/>
        <w:widowControl/>
        <w:keepNext/>
        <w:keepLines/>
        <w:pageBreakBefore/>
        <w:spacing w:before="120" w:after="90" w:line="270" w:lineRule="auto"/>
        <w:jc w:val="left"/>
      </w:pPr>
      <w:r>
        <w:rPr>
          <w:rFonts w:ascii="Liberation Sans" w:hAnsi="Liberation Sans" w:eastAsia="Liberation Sans"/>
          <w:sz w:val="25"/>
          <w:b/>
          <w:color w:val="000000"/>
        </w:rPr>
        <w:t xml:space="preserve">Guía para completar la ficha</w:t>
      </w:r>
    </w:p>
    <w:p>
      <w:pPr>
        <w:widowControl/>
        <w:spacing w:before="0" w:after="65" w:line="270" w:lineRule="auto"/>
        <w:jc w:val="both"/>
      </w:pPr>
      <w:r>
        <w:rPr>
          <w:rFonts w:ascii="Liberation Sans" w:hAnsi="Liberation Sans" w:eastAsia="Liberation Sans"/>
          <w:sz w:val="21"/>
        </w:rPr>
        <w:t xml:space="preserve">Guarda esta ficha como resumen privado junto a la resolución íntegra, notificación, documentos y justificantes. No se presenta en lugar de una subsanación, una impugnación o una petición procesal. Usa referencias para localizar los documentos y limita los datos personales a los necesarios.</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Primero identifica la fase</w:t>
      </w:r>
    </w:p>
    <w:p>
      <w:pPr>
        <w:widowControl/>
        <w:spacing w:before="0" w:after="65" w:line="270" w:lineRule="auto"/>
        <w:jc w:val="both"/>
      </w:pPr>
      <w:r>
        <w:rPr>
          <w:rFonts w:ascii="Liberation Sans" w:hAnsi="Liberation Sans" w:eastAsia="Liberation Sans"/>
          <w:sz w:val="21"/>
        </w:rPr>
        <w:t xml:space="preserve">El requerimiento de subsanación del artículo 14 LAJG concede diez días hábiles y prevé archivo por el Colegio si no se completa. La comunicación de que no se designa provisionalmente del artículo 15 no es por sí sola la resolución definitiva de la Comisión. Si el documento dice archivo, comprueba órgano, causa y cauce; la palabra aislada no identifica el recurso.</w:t>
      </w:r>
    </w:p>
    <w:p>
      <w:pPr>
        <w:widowControl/>
        <w:spacing w:before="0" w:after="65" w:line="270" w:lineRule="auto"/>
        <w:jc w:val="both"/>
      </w:pPr>
      <w:r>
        <w:rPr>
          <w:rFonts w:ascii="Liberation Sans" w:hAnsi="Liberation Sans" w:eastAsia="Liberation Sans"/>
          <w:sz w:val="21"/>
        </w:rPr>
        <w:t xml:space="preserve">El artículo 20 regula la impugnación motivada de resoluciones definitivas que reconozcan, revoquen o denieguen el derecho: diez días desde notificación o conocimiento por quien esté legitimado, ante la Secretaría de la Comisión, sin abogado preceptivo. Conserva el justificante y comprueba el cómputo y canal aplicables; esta ficha no los calcula ni presenta el escrito.</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Responde al motivo con una prueba</w:t>
      </w:r>
    </w:p>
    <w:p>
      <w:pPr>
        <w:widowControl/>
        <w:spacing w:before="0" w:after="65" w:line="270" w:lineRule="auto"/>
        <w:jc w:val="both"/>
      </w:pPr>
      <w:r>
        <w:rPr>
          <w:rFonts w:ascii="Liberation Sans" w:hAnsi="Liberation Sans" w:eastAsia="Liberation Sans"/>
          <w:sz w:val="21"/>
        </w:rPr>
        <w:t xml:space="preserve">Distingue falta documental, cómputo económico, supuesto especial de acceso e insostenibilidad jurídica. En una cuestión económica, identifica concepto, persona y ejercicio; para un supuesto especial, la condición y su relación con el proceso. Una objeción jurídica de los artículos 32–34 no se resuelve añadiendo indiscriminadamente más justificantes de ingresos.</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Ejemplo ficticio</w:t>
      </w:r>
    </w:p>
    <w:p>
      <w:pPr>
        <w:widowControl/>
        <w:spacing w:before="0" w:after="65" w:line="270" w:lineRule="auto"/>
        <w:jc w:val="both"/>
      </w:pPr>
      <w:r>
        <w:rPr>
          <w:rFonts w:ascii="Liberation Sans" w:hAnsi="Liberation Sans" w:eastAsia="Liberation Sans"/>
          <w:sz w:val="21"/>
        </w:rPr>
        <w:t xml:space="preserve">Una resolución atribuye al mismo ingreso dos conceptos. La persona reúne decisión, notificación y documentos que permitan comprobar si hay duplicidad. Conserva también una citación próxima y avisa al profesional o servicio que estudie la continuidad. La duplicidad alegada no demuestra por sí sola que tenga derecho al beneficio; debe contrastarse con el expediente completo.</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La actuación pendiente tiene su propia respuesta</w:t>
      </w:r>
    </w:p>
    <w:p>
      <w:pPr>
        <w:widowControl/>
        <w:spacing w:before="0" w:after="65" w:line="270" w:lineRule="auto"/>
        <w:jc w:val="both"/>
      </w:pPr>
      <w:r>
        <w:rPr>
          <w:rFonts w:ascii="Liberation Sans" w:hAnsi="Liberation Sans" w:eastAsia="Liberation Sans"/>
          <w:sz w:val="21"/>
        </w:rPr>
        <w:t xml:space="preserve">Solicitar justicia gratuita no suspende por sí solo el proceso o expediente. El artículo 16 regula una posible suspensión procesal y, antes de iniciar el proceso, efectos específicos sobre prescripción y caducidad bajo sus condiciones. Anota lo solicitado y lo resuelto; completar la ficha no detiene una citación ni concede un plazo nuevo.</w:t>
      </w:r>
    </w:p>
    <w:p>
      <w:pPr>
        <w:widowControl/>
        <w:spacing w:before="0" w:after="65" w:line="270" w:lineRule="auto"/>
        <w:jc w:val="both"/>
      </w:pPr>
      <w:r>
        <w:rPr>
          <w:rFonts w:ascii="Liberation Sans" w:hAnsi="Liberation Sans" w:eastAsia="Liberation Sans"/>
          <w:sz w:val="21"/>
        </w:rPr>
        <w:t xml:space="preserve">Si había designación provisional, comprueba su estado y los efectos del artículo 18 tras la resolución. Para el canal territorial usa la notificación y el Colegio o Comisión competentes. La Sede Judicial de Madrid es un ejemplo territorial, no un procedimiento universal.</w:t>
      </w:r>
    </w:p>
    <w:p>
      <w:pPr>
        <w:pStyle w:val="Heading2"/>
        <w:widowControl/>
        <w:keepNext/>
        <w:keepLines/>
        <w:spacing w:before="120" w:after="90" w:line="270" w:lineRule="auto"/>
        <w:jc w:val="left"/>
      </w:pPr>
      <w:r>
        <w:rPr>
          <w:rFonts w:ascii="Liberation Sans" w:hAnsi="Liberation Sans" w:eastAsia="Liberation Sans"/>
          <w:sz w:val="25"/>
          <w:b/>
          <w:color w:val="000000"/>
        </w:rPr>
        <w:t xml:space="preserve">Fuentes y guía de apoyo</w:t>
      </w:r>
    </w:p>
    <w:p>
      <w:pPr>
        <w:widowControl/>
        <w:spacing w:before="0" w:after="65" w:line="270" w:lineRule="auto"/>
        <w:jc w:val="both"/>
      </w:pPr>
      <w:r>
        <w:rPr>
          <w:rFonts w:ascii="Liberation Sans" w:hAnsi="Liberation Sans" w:eastAsia="Liberation Sans"/>
          <w:sz w:val="21"/>
        </w:rPr>
        <w:t xml:space="preserve">Ley 1/1996, artículos 14–18, 20 y 32–34: https://www.boe.es/buscar/act.php?id=BOE-A-1996-750</w:t>
      </w:r>
    </w:p>
    <w:p>
      <w:pPr>
        <w:widowControl/>
        <w:spacing w:before="0" w:after="65" w:line="270" w:lineRule="auto"/>
        <w:jc w:val="both"/>
      </w:pPr>
      <w:r>
        <w:rPr>
          <w:rFonts w:ascii="Liberation Sans" w:hAnsi="Liberation Sans" w:eastAsia="Liberation Sans"/>
          <w:sz w:val="21"/>
        </w:rPr>
        <w:t xml:space="preserve">Guía del despacho: https://perezburgosabogados.es/ayudas-a-victimas-y-asistencia-juridica/</w:t>
      </w:r>
    </w:p>
    <w:p>
      <w:pPr>
        <w:widowControl/>
        <w:spacing w:before="0" w:after="65" w:line="270" w:lineRule="auto"/>
        <w:jc w:val="both"/>
      </w:pPr>
      <w:r>
        <w:rPr>
          <w:rFonts w:ascii="Liberation Sans" w:hAnsi="Liberation Sans" w:eastAsia="Liberation Sans"/>
          <w:sz w:val="21"/>
        </w:rPr>
        <w:t xml:space="preserve">Ejemplo territorial: https://sedejudicial.madrid.org/tramite/asistencia-juridica-gratuita</w:t>
      </w:r>
    </w:p>
    <w:p>
      <w:pPr>
        <w:widowControl/>
        <w:spacing w:before="0" w:after="65" w:line="270" w:lineRule="auto"/>
        <w:jc w:val="both"/>
      </w:pPr>
      <w:r>
        <w:rPr>
          <w:rFonts w:ascii="Liberation Sans" w:hAnsi="Liberation Sans" w:eastAsia="Liberation Sans"/>
          <w:sz w:val="21"/>
        </w:rPr>
        <w:t xml:space="preserve">Edición del documento: noviembre de 2026. Preparación privada del expediente; no implica revisión profesional de la resolución individual.</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revisión de justicia gratuita</dc:title>
  <dc:subject>Ficha privada de revisión de justicia gratuita</dc:subject>
  <dc:creator/>
  <cp:keywords/>
  <dc:description>Resolución, motivo, prueba y actuación pendiente; guía de uso separada</dc:description>
  <cp:lastModifiedBy/>
  <cp:revision>1</cp:revision>
  <dcterms:created xsi:type="dcterms:W3CDTF">2026-11-01T00:15:25Z</dcterms:created>
  <dcterms:modified xsi:type="dcterms:W3CDTF">2026-11-01T00:15:25Z</dcterms:modified>
  <cp:category/>
</cp:coreProperties>
</file>