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keepNext/>
        <w:keepLines/>
        <w:spacing w:before="120" w:after="90" w:line="270" w:lineRule="auto"/>
        <w:pBdr>
          <w:bottom w:val="nil"/>
        </w:pBdr>
        <w:jc w:val="left"/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Preparación de una promoción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Ficha para preparar el encargo y clasificar la mecánica. Documento interno; las bases publicables se redactan después de resolver los puntos pendientes.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Organizador y contacto: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[IDENTIDAD Y REFERENCIA]</w:t>
      </w:r>
      <w:r>
        <w:rPr>
          <w:rFonts w:ascii="Liberation Sans" w:hAnsi="Liberation Sans" w:eastAsia="Liberation Sans"/>
          <w:sz w:val="21"/>
        </w:rPr>
        <w:t xml:space="preserve">. Nombre/versión de la promoción: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[REFERENCIA]</w:t>
      </w:r>
      <w:r>
        <w:rPr>
          <w:rFonts w:ascii="Liberation Sans" w:hAnsi="Liberation Sans" w:eastAsia="Liberation Sans"/>
          <w:sz w:val="21"/>
        </w:rPr>
        <w:t xml:space="preserve">. Preparado por y fecha: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1. Territorio, personas y canales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Dónde se ofrece y quién puede participar: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[PAÍSES/CCAA, EDAD, RESIDENCIA Y EXCLUSIONES JUSTIFICADAS / PENDIENTE]</w:t>
      </w:r>
      <w:r>
        <w:rPr>
          <w:rFonts w:ascii="Liberation Sans" w:hAnsi="Liberation Sans" w:eastAsia="Liberation Sans"/>
          <w:sz w:val="21"/>
        </w:rPr>
        <w:t xml:space="preserve">. Canales y establecimientos: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[WEB, RED SOCIAL, LOCAL U OTROS]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Difusión y alcance que puede producirse fuera de ese territorio: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[HECHOS Y MEDIDAS / PENDIENTE]</w:t>
      </w:r>
      <w:r>
        <w:rPr>
          <w:rFonts w:ascii="Liberation Sans" w:hAnsi="Liberation Sans" w:eastAsia="Liberation Sans"/>
          <w:sz w:val="21"/>
        </w:rPr>
        <w:t xml:space="preserve">. Productos o servicios promocionados: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[DETALLE]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2. Mecánica: elige la que realmente se hará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Selección prevista, elige una: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[AZAR / VALORACIÓN DE JURADO / OTRA DESCRITA / PENDIENTE]</w:t>
      </w:r>
      <w:r>
        <w:rPr>
          <w:rFonts w:ascii="Liberation Sans" w:hAnsi="Liberation Sans" w:eastAsia="Liberation Sans"/>
          <w:sz w:val="21"/>
        </w:rPr>
        <w:t xml:space="preserve">. Pasos de participación y prueba que quedará: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[DETALLE]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Coste o condición para participar, elige una y explica: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[SIN COMPRA NI PAGO / CONSUMO SIN SOBRECOSTE / PAGO, SOBREPRECIO O TARIFICACIÓN / PENDIENTE]</w:t>
      </w:r>
      <w:r>
        <w:rPr>
          <w:rFonts w:ascii="Liberation Sans" w:hAnsi="Liberation Sans" w:eastAsia="Liberation Sans"/>
          <w:sz w:val="21"/>
        </w:rPr>
        <w:t xml:space="preserve">. Importe y destinatario, si existe: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[DETALLE / NO APLICA]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Criterio de admisión y duplicados: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[REGLAS Y PRUEBA / PENDIENTE]</w:t>
      </w:r>
      <w:r>
        <w:rPr>
          <w:rFonts w:ascii="Liberation Sans" w:hAnsi="Liberation Sans" w:eastAsia="Liberation Sans"/>
          <w:sz w:val="21"/>
        </w:rPr>
        <w:t xml:space="preserve">. Clasificación y régimen territorial examinados: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[CATEGORÍA, FUENTE, QUIÉN Y FECHA /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3. Calendario con zona horaria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Inicio y cierre de participación: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[FECHA/HORA/ZONA]</w:t>
      </w:r>
      <w:r>
        <w:rPr>
          <w:rFonts w:ascii="Liberation Sans" w:hAnsi="Liberation Sans" w:eastAsia="Liberation Sans"/>
          <w:sz w:val="21"/>
        </w:rPr>
        <w:t xml:space="preserve">. Selección y suplentes: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[FECHA/HORA/ZONA]</w:t>
      </w:r>
      <w:r>
        <w:rPr>
          <w:rFonts w:ascii="Liberation Sans" w:hAnsi="Liberation Sans" w:eastAsia="Liberation Sans"/>
          <w:sz w:val="21"/>
        </w:rPr>
        <w:t xml:space="preserve">. Comunicación y respuesta: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[CANAL Y FECHAS]</w:t>
      </w:r>
      <w:r>
        <w:rPr>
          <w:rFonts w:ascii="Liberation Sans" w:hAnsi="Liberation Sans" w:eastAsia="Liberation Sans"/>
          <w:sz w:val="21"/>
        </w:rPr>
        <w:t xml:space="preserve">. Entrega: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 O CRITERIO CONCRETO]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Si cambia la mecánica, crea una nueva versión y revisa las secciones que dependan de ella. Las alternativas anteriores no son casillas acumulables ni una validación automática del régimen.</w:t>
      </w:r>
    </w:p>
    <w:p>
      <w:pPr>
        <w:pStyle w:val="Heading2"/>
        <w:widowControl/>
        <w:keepNext/>
        <w:keepLines/>
        <w:spacing w:before="120" w:after="90" w:line="270" w:lineRule="auto"/>
        <w:jc w:val="left"/>
        <w:pageBreakBefore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4. Premio, elección y entrega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Premio y unidades: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[DESCRIPCIÓN EXACTA]</w:t>
      </w:r>
      <w:r>
        <w:rPr>
          <w:rFonts w:ascii="Liberation Sans" w:hAnsi="Liberation Sans" w:eastAsia="Liberation Sans"/>
          <w:sz w:val="21"/>
        </w:rPr>
        <w:t xml:space="preserve">. Valor y soporte de valoración: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[IMPORTE, CRITERIO Y DOCUMENTO / PENDIENTE]</w:t>
      </w:r>
      <w:r>
        <w:rPr>
          <w:rFonts w:ascii="Liberation Sans" w:hAnsi="Liberation Sans" w:eastAsia="Liberation Sans"/>
          <w:sz w:val="21"/>
        </w:rPr>
        <w:t xml:space="preserve">. Gastos, desplazamiento, disponibilidad y restricciones: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[DETALLE]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Si hay azar: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[MÉTODO, UNIVERSO DE PARTICIPANTES, FECHA, CONTROL Y PRUEBA / NO APLICA]</w:t>
      </w:r>
      <w:r>
        <w:rPr>
          <w:rFonts w:ascii="Liberation Sans" w:hAnsi="Liberation Sans" w:eastAsia="Liberation Sans"/>
          <w:sz w:val="21"/>
        </w:rPr>
        <w:t xml:space="preserve">. Si hay jurado: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[MIEMBROS, CRITERIOS, PONDERACIÓN, DESEMPATES Y ACTA / NO APLICA]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Suplentes y orden: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[MÉTODO Y PRUEBA]</w:t>
      </w:r>
      <w:r>
        <w:rPr>
          <w:rFonts w:ascii="Liberation Sans" w:hAnsi="Liberation Sans" w:eastAsia="Liberation Sans"/>
          <w:sz w:val="21"/>
        </w:rPr>
        <w:t xml:space="preserve">. Notificación y comprobación mínima del ganador: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[CANAL Y DOCUMENTOS NECESARIOS]</w:t>
      </w:r>
      <w:r>
        <w:rPr>
          <w:rFonts w:ascii="Liberation Sans" w:hAnsi="Liberation Sans" w:eastAsia="Liberation Sans"/>
          <w:sz w:val="21"/>
        </w:rPr>
        <w:t xml:space="preserve">. Falta de respuesta o rechazo: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[PROCEDIMIENTO Y PLAZOS PROPUESTOS /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5. Datos, imagen y comunicaciones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Datos necesarios para participar/entregar y fundamento a revisar: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[DATOS, FINALIDAD Y BASE / PENDIENTE]</w:t>
      </w:r>
      <w:r>
        <w:rPr>
          <w:rFonts w:ascii="Liberation Sans" w:hAnsi="Liberation Sans" w:eastAsia="Liberation Sans"/>
          <w:sz w:val="21"/>
        </w:rPr>
        <w:t xml:space="preserve">. Información al participante y conservación: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[VERSIÓN, MOMENTO Y CRITERIO /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Publicación de resultado: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 MÍNIMO, MEDIO Y FUNDAMENTO / PENDIENTE]</w:t>
      </w:r>
      <w:r>
        <w:rPr>
          <w:rFonts w:ascii="Liberation Sans" w:hAnsi="Liberation Sans" w:eastAsia="Liberation Sans"/>
          <w:sz w:val="21"/>
        </w:rPr>
        <w:t xml:space="preserve">. Uso adicional de imagen o contenidos: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[FINALIDAD, MEDIOS, ALCANCE Y AUTORIZACIÓN A REVISAR / NO PREVISTO]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Publicidad posterior: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[NO PREVISTA / PROPUESTA SEPARADA Y OPCIONAL A REVISAR]</w:t>
      </w:r>
      <w:r>
        <w:rPr>
          <w:rFonts w:ascii="Liberation Sans" w:hAnsi="Liberation Sans" w:eastAsia="Liberation Sans"/>
          <w:sz w:val="21"/>
        </w:rPr>
        <w:t xml:space="preserve">. Encargados, accesos y transferencias: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[PROVEEDORES Y CONDICIONES /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6. Incidencias y revisión antes de lanzar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Incidencias previsibles y respuesta propuesta: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[ERRORES, FRAUDE, IMPOSIBILIDAD DE ENTREGA U OTRAS; CRITERIOS Y PRUEBA]</w:t>
      </w:r>
      <w:r>
        <w:rPr>
          <w:rFonts w:ascii="Liberation Sans" w:hAnsi="Liberation Sans" w:eastAsia="Liberation Sans"/>
          <w:sz w:val="21"/>
        </w:rPr>
        <w:t xml:space="preserve">. Cambios propuestos: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[MOTIVO, EFECTOS Y COMUNICACIÓN / NINGUNO]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Comprobación territorial y trámites: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[AUTORIDAD, FUENTE, RESULTADO Y JUSTIFICANTE / PENDIENTE]</w:t>
      </w:r>
      <w:r>
        <w:rPr>
          <w:rFonts w:ascii="Liberation Sans" w:hAnsi="Liberation Sans" w:eastAsia="Liberation Sans"/>
          <w:sz w:val="21"/>
        </w:rPr>
        <w:t xml:space="preserve">. Fiscalidad del organizador y del premio: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[IMPUESTO, RETENCIÓN/INGRESO A CUENTA, OBLIGADO Y FUENTE /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Decisiones abiertas y documentos que faltan: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[LISTA, PERSONA Y SIGUIENTE PASO]</w:t>
      </w:r>
      <w:r>
        <w:rPr>
          <w:rFonts w:ascii="Liberation Sans" w:hAnsi="Liberation Sans" w:eastAsia="Liberation Sans"/>
          <w:sz w:val="21"/>
        </w:rPr>
        <w:t xml:space="preserve">. Estado: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[PREPARATORIO / PARA REVISAR / BASES ESPECÍFICAS REDACTADAS APARTE]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  <w:pageBreakBefore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Guía para preparar el encargo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Esta ficha no es un contrato para aceptar ni unas bases para publicar. Reúne hechos y decisiones para redactar unas condiciones específicas. Una sección pendiente de clasificación, territorio o tributación sigue pendiente aunque todos los campos tengan texto.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Clasificación y territorio primero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La Ley 13/2011 distingue actividades de juego de ámbito estatal y combinaciones aleatorias promocionales. Su artículo 3.i describe estas últimas por su finalidad publicitaria y consumo del producto o servicio sin sobreprecio ni tarificación adicional. El artículo 2.2.c las excluye del ámbito de la ley salvo su título fiscal.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La DGOJ explica que, en ese régimen estatal, no se precisa licencia, autorización ni comunicación previa a esa Dirección General; ello no elimina la fiscalidad ni las normas civiles y mercantiles. No conviertas esa respuesta en una exención territorial universal. La Comunidad de Madrid, por ejemplo, publica un trámite de comunicación previa para combinaciones de su ámbito. Determina el alcance real y consulta la autoridad que corresponda antes del lanzamiento.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Azar y jurado no son la misma plantilla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Si se usa azar, define el universo de participaciones válidas, método y prueba de selección. Si se valora por jurado, fija criterios, ponderación, empates y documentación de la decisión. El componente de habilidad no resuelve por sí solo el régimen cuando existen pagos u otros elementos: conserva los hechos y la cuestión para revisión.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Datos, imagen e incidencias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Separa datos necesarios para gestionar la participación o entrega, publicación del resultado, uso publicitario de imagen y campañas posteriores. La información y el fundamento deben corresponder a cada finalidad. Si se pide consentimiento, debe ser específico y distinguible; condicionarlo a datos no necesarios puede afectar a su libertad, conforme al artículo 7 RGPD. No unas imagen y publicidad en una única aceptación obligatoria para todos.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Describe causas y procedimiento para incidencias. No incluyas una facultad libre de cambiar cualquier condición: el artículo 1256 CC impide dejar cumplimiento y validez al arbitrio de una parte y, cuando exista contratación con consumidores, deben examinarse los artículos 80, 82 y 85.3 del texto refundido. La ficha no determina por sí sola qué régimen contractual tiene cada promoción.</w:t>
      </w:r>
    </w:p>
    <w:p>
      <w:pPr>
        <w:pStyle w:val="Heading2"/>
        <w:widowControl/>
        <w:keepNext/>
        <w:keepLines/>
        <w:spacing w:before="120" w:after="90" w:line="270" w:lineRule="auto"/>
        <w:jc w:val="left"/>
        <w:pageBreakBefore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Ejemplo ficticio y cuestiones abiertas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Una tienda proyecta elegir al azar una fotografía entre quienes compren un producto sin sobreprecio. Antes de publicar decide que un jurado valore las imágenes. Se prepara una versión nueva: deben cambiar método de selección, criterios, miembros, empates, prueba y explicación del resultado. No basta sustituir «sorteo» por «concurso».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La ficha separa el uso de la foto para participar del eventual uso en una campaña posterior, que no se presume autorizado. Anota el valor del premio y quién revisará impuestos, retenciones o ingresos a cuenta. Si no se conoce territorio o coste real de participación, la clasificación queda pendiente; el ejemplo no concluye una exención.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Documentos para llevar a la revisión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Conserva borrador de anuncio y mecánica, mapa de territorios y canales, descripción y valoración del premio, condiciones de la plataforma, lista de proveedores y borradores de información/consentimientos. Identifica qué debe quedar decidido antes de recibir participaciones y qué prueba se guardará al seleccionar y entregar.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Decisiones que esta ficha no sustituye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No proporciona bases universales, un dictamen tributario, una autorización de juego ni un permiso para utilizar fotografías ajenas. El régimen depende de la mecánica efectiva, el territorio y los destinatarios. Las condiciones finales y sus cambios deben redactarse fuera de esta hoja preparatoria después de revisar esos puntos.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Fuentes y siguiente paso</w:t>
      </w:r>
    </w:p>
    <w:p>
      <w:pPr>
        <w:widowControl/>
        <w:spacing w:before="0" w:after="65" w:line="270" w:lineRule="auto"/>
        <w:jc w:val="both"/>
      </w:pPr>
      <w:hyperlink r:id="rId14">
        <w:r>
          <w:rPr>
            <w:rFonts w:ascii="Liberation Sans" w:hAnsi="Liberation Sans" w:eastAsia="Liberation Sans"/>
            <w:sz w:val="21"/>
            <w:color w:val="0563C1"/>
            <w:u w:val="single"/>
          </w:rPr>
          <w:t>Ley 13/2011: artículos 2 y 3</w:t>
        </w:r>
      </w:hyperlink>
    </w:p>
    <w:p>
      <w:pPr>
        <w:widowControl/>
        <w:spacing w:before="0" w:after="65" w:line="270" w:lineRule="auto"/>
        <w:jc w:val="both"/>
      </w:pPr>
      <w:hyperlink r:id="rId15">
        <w:r>
          <w:rPr>
            <w:rFonts w:ascii="Liberation Sans" w:hAnsi="Liberation Sans" w:eastAsia="Liberation Sans"/>
            <w:sz w:val="21"/>
            <w:color w:val="0563C1"/>
            <w:u w:val="single"/>
          </w:rPr>
          <w:t>DGOJ: combinaciones aleatorias promocionales</w:t>
        </w:r>
      </w:hyperlink>
    </w:p>
    <w:p>
      <w:pPr>
        <w:widowControl/>
        <w:spacing w:before="0" w:after="65" w:line="270" w:lineRule="auto"/>
        <w:jc w:val="both"/>
      </w:pPr>
      <w:hyperlink r:id="rId16">
        <w:r>
          <w:rPr>
            <w:rFonts w:ascii="Liberation Sans" w:hAnsi="Liberation Sans" w:eastAsia="Liberation Sans"/>
            <w:sz w:val="21"/>
            <w:color w:val="0563C1"/>
            <w:u w:val="single"/>
          </w:rPr>
          <w:t>Comunidad de Madrid: ejemplo de trámite territorial</w:t>
        </w:r>
      </w:hyperlink>
    </w:p>
    <w:p>
      <w:pPr>
        <w:widowControl/>
        <w:spacing w:before="0" w:after="65" w:line="270" w:lineRule="auto"/>
        <w:jc w:val="both"/>
      </w:pPr>
      <w:hyperlink r:id="rId17">
        <w:r>
          <w:rPr>
            <w:rFonts w:ascii="Liberation Sans" w:hAnsi="Liberation Sans" w:eastAsia="Liberation Sans"/>
            <w:sz w:val="21"/>
            <w:color w:val="0563C1"/>
            <w:u w:val="single"/>
          </w:rPr>
          <w:t>RGPD: artículos 5–7 y 13</w:t>
        </w:r>
      </w:hyperlink>
    </w:p>
    <w:p>
      <w:pPr>
        <w:widowControl/>
        <w:spacing w:before="0" w:after="65" w:line="270" w:lineRule="auto"/>
        <w:jc w:val="both"/>
      </w:pPr>
      <w:hyperlink r:id="rId18">
        <w:r>
          <w:rPr>
            <w:rFonts w:ascii="Liberation Sans" w:hAnsi="Liberation Sans" w:eastAsia="Liberation Sans"/>
            <w:sz w:val="21"/>
            <w:color w:val="0563C1"/>
            <w:u w:val="single"/>
          </w:rPr>
          <w:t>LSSI: artículos 20–22</w:t>
        </w:r>
      </w:hyperlink>
    </w:p>
    <w:p>
      <w:pPr>
        <w:widowControl/>
        <w:spacing w:before="0" w:after="65" w:line="270" w:lineRule="auto"/>
        <w:jc w:val="both"/>
      </w:pPr>
      <w:hyperlink r:id="rId19">
        <w:r>
          <w:rPr>
            <w:rFonts w:ascii="Liberation Sans" w:hAnsi="Liberation Sans" w:eastAsia="Liberation Sans"/>
            <w:sz w:val="21"/>
            <w:color w:val="0563C1"/>
            <w:u w:val="single"/>
          </w:rPr>
          <w:t>Código Civil: artículo 1256</w:t>
        </w:r>
      </w:hyperlink>
    </w:p>
    <w:p>
      <w:pPr>
        <w:widowControl/>
        <w:spacing w:before="0" w:after="65" w:line="270" w:lineRule="auto"/>
        <w:jc w:val="both"/>
      </w:pPr>
      <w:hyperlink r:id="rId20">
        <w:r>
          <w:rPr>
            <w:rFonts w:ascii="Liberation Sans" w:hAnsi="Liberation Sans" w:eastAsia="Liberation Sans"/>
            <w:sz w:val="21"/>
            <w:color w:val="0563C1"/>
            <w:u w:val="single"/>
          </w:rPr>
          <w:t>TRLGDCU: artículos 80, 82 y 85.3</w:t>
        </w:r>
      </w:hyperlink>
    </w:p>
    <w:p>
      <w:pPr>
        <w:widowControl/>
        <w:spacing w:before="0" w:after="65" w:line="270" w:lineRule="auto"/>
        <w:jc w:val="both"/>
      </w:pPr>
      <w:hyperlink r:id="rId21">
        <w:r>
          <w:rPr>
            <w:rFonts w:ascii="Liberation Sans" w:hAnsi="Liberation Sans" w:eastAsia="Liberation Sans"/>
            <w:sz w:val="21"/>
            <w:color w:val="0563C1"/>
            <w:u w:val="single"/>
          </w:rPr>
          <w:t>Revisión jurídica de una campaña publicitaria</w:t>
        </w:r>
      </w:hyperlink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Edición del documento: noviembre de 2026. La ficha no calcula impuestos ni acredita permisos, comunicaciones o aceptación de participantes.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Relationship Id="rId14" Type="http://schemas.openxmlformats.org/officeDocument/2006/relationships/hyperlink" Target="https://www.boe.es/buscar/act.php?id=BOE-A-2011-9280#a2" TargetMode="External"/><Relationship Id="rId15" Type="http://schemas.openxmlformats.org/officeDocument/2006/relationships/hyperlink" Target="https://www.ordenacionjuego.es/operadores-juego/rifa-juego-ocasional/combinaciones-aleatorias-fines-publicitarios-o-promocionales" TargetMode="External"/><Relationship Id="rId16" Type="http://schemas.openxmlformats.org/officeDocument/2006/relationships/hyperlink" Target="https://sede.comunidad.madrid/comunicaciones-declaraciones/combinacion-aleatoria-fin-publicitario" TargetMode="External"/><Relationship Id="rId17" Type="http://schemas.openxmlformats.org/officeDocument/2006/relationships/hyperlink" Target="https://www.boe.es/buscar/doc.php?id=DOUE-L-2016-80807" TargetMode="External"/><Relationship Id="rId18" Type="http://schemas.openxmlformats.org/officeDocument/2006/relationships/hyperlink" Target="https://www.boe.es/buscar/act.php?id=BOE-A-2002-13758#a21" TargetMode="External"/><Relationship Id="rId19" Type="http://schemas.openxmlformats.org/officeDocument/2006/relationships/hyperlink" Target="https://www.boe.es/buscar/act.php?id=BOE-A-1889-4763#art1256" TargetMode="External"/><Relationship Id="rId20" Type="http://schemas.openxmlformats.org/officeDocument/2006/relationships/hyperlink" Target="https://www.boe.es/buscar/act.php?id=BOE-A-2007-20555#a85" TargetMode="External"/><Relationship Id="rId21" Type="http://schemas.openxmlformats.org/officeDocument/2006/relationships/hyperlink" Target="https://perezburgosabogados.es/servicios/contratos-mercantiles-confidencialidad/#revision-juridica-de-una-campana-publicita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para preparar las bases de una promoción</dc:title>
  <dc:subject>Ordena mecánica, territorio, premio, selección, datos e incidencias antes de redactar bases específicas; no contiene bases listas para publicar.</dc:subject>
  <dc:creator/>
  <cp:keywords/>
  <dc:description>Documento interno editable: modelo primero, guía y ejemplos separados. Ordena mecánica, territorio, premio, selección, datos e incidencias antes de redactar bases específicas; no contiene bases listas para publicar.</dc:description>
  <cp:lastModifiedBy/>
  <cp:revision>1</cp:revision>
  <dcterms:created xsi:type="dcterms:W3CDTF">2026-11-01T00:15:25Z</dcterms:created>
  <dcterms:modified xsi:type="dcterms:W3CDTF">2026-11-01T00:15:25Z</dcterms:modified>
  <cp:category/>
</cp:coreProperties>
</file>