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8"/>
          <w:color w:val="000000"/>
          <w:b/>
        </w:rPr>
        <w:t xml:space="preserve">Ficha de periodos internacionales y pensión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Ficha privada de preparación para una consulta de Seguridad Social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Persona y objetivo: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[nombre, fecha de nacimiento y prestación que se quiere estudiar]</w:t>
      </w:r>
      <w:r>
        <w:rPr>
          <w:rFonts w:ascii="Arial" w:hAnsi="Arial"/>
          <w:sz w:val="21"/>
          <w:color w:val="000000"/>
        </w:rPr>
        <w:t xml:space="preserve">. Fecha de corte: </w:t>
      </w:r>
      <w:r>
        <w:rPr>
          <w:rFonts w:ascii="Arial" w:hAnsi="Arial"/>
          <w:sz w:val="21"/>
          <w:color w:val="397CDD"/>
          <w:b/>
        </w:rPr>
        <w:t xml:space="preserve">[fecha]</w:t>
      </w:r>
      <w:r>
        <w:rPr>
          <w:rFonts w:ascii="Arial" w:hAnsi="Arial"/>
          <w:sz w:val="21"/>
          <w:color w:val="000000"/>
        </w:rPr>
        <w:t xml:space="preserve">. País actual de residencia: </w:t>
      </w:r>
      <w:r>
        <w:rPr>
          <w:rFonts w:ascii="Arial" w:hAnsi="Arial"/>
          <w:sz w:val="21"/>
          <w:color w:val="397CDD"/>
          <w:b/>
        </w:rPr>
        <w:t xml:space="preserve">[país y desde cuándo]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País e institución: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[país, organismo y número de afiliación por canal seguro]</w:t>
      </w:r>
      <w:r>
        <w:rPr>
          <w:rFonts w:ascii="Arial" w:hAnsi="Arial"/>
          <w:sz w:val="21"/>
          <w:color w:val="000000"/>
        </w:rPr>
        <w:t xml:space="preserve">. Régimen: </w:t>
      </w:r>
      <w:r>
        <w:rPr>
          <w:rFonts w:ascii="Arial" w:hAnsi="Arial"/>
          <w:sz w:val="21"/>
          <w:color w:val="397CDD"/>
          <w:b/>
        </w:rPr>
        <w:t xml:space="preserve">[cuenta ajena, propia, especial u otro según documento]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Periodo acreditado: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[inicio y fin]</w:t>
      </w:r>
      <w:r>
        <w:rPr>
          <w:rFonts w:ascii="Arial" w:hAnsi="Arial"/>
          <w:sz w:val="21"/>
          <w:color w:val="000000"/>
        </w:rPr>
        <w:t xml:space="preserve">. Naturaleza: </w:t>
      </w:r>
      <w:r>
        <w:rPr>
          <w:rFonts w:ascii="Arial" w:hAnsi="Arial"/>
          <w:sz w:val="21"/>
          <w:color w:val="397CDD"/>
          <w:b/>
        </w:rPr>
        <w:t xml:space="preserve">[seguro, trabajo o residencia; indicar el documento que lo califica]</w:t>
      </w:r>
      <w:r>
        <w:rPr>
          <w:rFonts w:ascii="Arial" w:hAnsi="Arial"/>
          <w:sz w:val="21"/>
          <w:color w:val="000000"/>
        </w:rPr>
        <w:t xml:space="preserve">. Empleador o actividad: </w:t>
      </w:r>
      <w:r>
        <w:rPr>
          <w:rFonts w:ascii="Arial" w:hAnsi="Arial"/>
          <w:sz w:val="21"/>
          <w:color w:val="397CDD"/>
          <w:b/>
        </w:rPr>
        <w:t xml:space="preserve">[dato]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Documento oficial: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[vida laboral, certificado, resolución, fecha y páginas]</w:t>
      </w:r>
      <w:r>
        <w:rPr>
          <w:rFonts w:ascii="Arial" w:hAnsi="Arial"/>
          <w:sz w:val="21"/>
          <w:color w:val="000000"/>
        </w:rPr>
        <w:t xml:space="preserve">. Diferencia respecto a otros documentos: </w:t>
      </w:r>
      <w:r>
        <w:rPr>
          <w:rFonts w:ascii="Arial" w:hAnsi="Arial"/>
          <w:sz w:val="21"/>
          <w:color w:val="397CDD"/>
          <w:b/>
        </w:rPr>
        <w:t xml:space="preserve">[detalle o ninguna conocida]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Solapamiento: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[periodo coincidente en otro país, documento y circunstancia; no sumarlo dos veces sin revisión]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Lagunas o periodos discutidos: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[fechas, causa conocida, reclamación y prueba pendiente]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Pensión solicitada o reconocida: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[país, tipo, fecha de solicitud y resolución, cuantía bruta, fecha de efectos y recurso si existe]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Periodos o liquidación diferidos: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[petición expresa, fecha, organismo y documento; indicar si no se conoce]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Complemento que se desea revisar: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[denominación exacta, solicitud, resolución y requisitos controvertidos]</w:t>
      </w:r>
      <w:r>
        <w:rPr>
          <w:rFonts w:ascii="Arial" w:hAnsi="Arial"/>
          <w:sz w:val="21"/>
          <w:color w:val="000000"/>
        </w:rPr>
        <w:t xml:space="preserve">. No confundir complemento de mínimos con otros complementos.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Datos familiares estrictamente pertinentes: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[hecho, fecha, resolución y relación con el complemento; no incluir datos médicos ajenos innecesarios]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Notificación y plazo pendiente: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[documento completo, fecha de recepción, medio y cuestión a verificar de inmediato]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Siguiente actuación: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[documento que falta, quién lo solicita, institución y fecha de seguimiento]</w:t>
      </w:r>
      <w:r>
        <w:rPr>
          <w:rFonts w:ascii="Arial" w:hAnsi="Arial"/>
          <w:sz w:val="21"/>
          <w:color w:val="000000"/>
        </w:rPr>
        <w:t xml:space="preserve">.</w:t>
      </w:r>
    </w:p>
    <w:p>
      <w:r>
        <w:br w:type="page"/>
      </w:r>
    </w:p>
    <w:p>
      <w:pPr>
        <w:pStyle w:val="Title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8"/>
          <w:color w:val="000000"/>
          <w:b/>
        </w:rPr>
        <w:t xml:space="preserve">Instrucciones y ejemplo de uso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Cómo completar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Duplique País e institución hasta Lagunas por cada tramo relevante. Respete las fechas de los documentos, indicando errores o desconocidos en vez de reconstruirlos. Conserve originales y traducciones sin sustituir uno por otra. Esta ficha no se presenta como solicitud de pensión ni sustituye formularios oficiales.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Régimen aplicable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La coordinación europea, los convenios bilaterales y otros supuestos internacionales tienen ámbitos distintos. El Reglamento 883/2004 contempla totalización bajo condiciones y cálculo nacional o prorrateado por instituciones competentes. No equivale a sumar todos los años ni multiplicar una pensión española por un porcentaje universal.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Complementos y notificaciones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Identifique el complemento exacto y la resolución, sin mezclar mínimos, brecha de género u otra figura. Si hay una denegación o cobro indebido, facilite enseguida el documento íntegro para revisar su vía y plazo; reunir periodos extranjeros no suspende por sí solo una reclamación.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Ejemplo ficticio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Luis F. aporta periodos de España y Francia y advierte tres meses coincidentes. Relaciona una pensión ya reconocida y una solicitud extranjera pendiente. Anota por separado el complemento denegado y la fecha de recepción de esa resolución, sin calcular una prorrata con datos incompletos.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Fuente</w:t>
      </w:r>
    </w:p>
    <w:p>
      <w:pPr>
        <w:jc w:val="left"/>
        <w:widowControl/>
        <w:spacing w:after="110" w:line="276" w:lineRule="auto"/>
      </w:pPr>
      <w:hyperlink r:id="rIdModel300_16">
        <w:r>
          <w:rPr>
            <w:rFonts w:ascii="Arial" w:hAnsi="Arial"/>
            <w:sz w:val="21"/>
            <w:color w:val="397CDD"/>
          </w:rPr>
          <w:t xml:space="preserve">Reglamento 883/2004 artículos 6 y 52</w:t>
        </w:r>
      </w:hyperlink>
      <w:r>
        <w:rPr>
          <w:rFonts w:ascii="Arial" w:hAnsi="Arial"/>
          <w:sz w:val="21"/>
          <w:color w:val="000000"/>
        </w:rPr>
        <w:t xml:space="preserve">. Se cita su marco de coordinación; antes de decidir deben comprobarse texto vigente, ámbito personal y territorial, convenio y normas nacionales. La ficha transfronteriza existente puede aportar datos laborales y de residencia, pero no sustituye estos tramos de pensión.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304" w:right="1304" w:bottom="1304" w:left="1304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b/>
      <w:bCs/>
      <w:rFonts w:ascii="Arial" w:hAnsi="Arial"/>
      <w:color w:val="000000"/>
      <w:sz w:val="2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b/>
      <w:bCs/>
      <w:rFonts w:ascii="Arial" w:hAnsi="Arial"/>
      <w:color w:val="000000"/>
      <w:sz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b/>
      <w:spacing w:val="5"/>
      <w:kern w:val="28"/>
      <w:rFonts w:ascii="Arial" w:hAnsi="Arial"/>
      <w:color w:val="000000"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889-4763" TargetMode="External"/><Relationship Id="rId12" Type="http://schemas.openxmlformats.org/officeDocument/2006/relationships/hyperlink" Target="https://eur-lex.europa.eu/legal-content/ES/TXT/?uri=CELEX:32012R0650" TargetMode="External"/><Relationship Id="rId13" Type="http://schemas.openxmlformats.org/officeDocument/2006/relationships/hyperlink" Target="https://www.boe.es/buscar/act.php?id=BOE-A-1991-27678" TargetMode="External"/><Relationship Id="rId14" Type="http://schemas.openxmlformats.org/officeDocument/2006/relationships/hyperlink" Target="https://clientebancario.bde.es/pcb/es/menu-horizontal/productosservici/herencias/guia-textual/Derechodeinformacionsobrelasposicionesdelcausante/Que_informacion_769a14e11eca761.html" TargetMode="External"/><Relationship Id="rIdLibrary15" Type="http://schemas.openxmlformats.org/officeDocument/2006/relationships/hyperlink" Target="https://www.boe.es/buscar/doc.php?id=DOUE-L-2022-81573" TargetMode="External"/><Relationship Id="rIdModel300_16" Type="http://schemas.openxmlformats.org/officeDocument/2006/relationships/hyperlink" Target="https://www.boe.es/buscar/doc.php?id=DOUE-L-2004-811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466</Words>
  <Characters>2874</Characters>
  <Application>Codex</Application>
  <DocSecurity>0</DocSecurity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Ficha de periodos internacionales y pensión</vt:lpstr>
    </vt:vector>
  </TitlesOfParts>
  <Manager/>
  <Company/>
  <LinksUpToDate>false</LinksUpToDate>
  <CharactersWithSpaces>3340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periodos internacionales y pensión</dc:title>
  <dc:subject>Ficha privada preparatoria</dc:subject>
  <dc:creator/>
  <cp:keywords/>
  <dc:description>Modelo jurídico editable de Pérez &amp; Burgos Abogados</dc:description>
  <cp:lastModifiedBy/>
  <cp:revision>2</cp:revision>
  <dcterms:created xsi:type="dcterms:W3CDTF">2026-10-29T00:00:00Z</dcterms:created>
  <dcterms:modified xsi:type="dcterms:W3CDTF">2026-10-29T00:00:00Z</dcterms:modified>
  <cp:category>Laboral</cp:category>
  <dc:language>es-ES</dc:language>
</cp:coreProperties>
</file>