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FISCAL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Escrito inicial frente a una derivación de responsabilidad tributaria</w:t>
      </w:r>
    </w:p>
    <w:p>
      <w:pPr>
        <w:jc w:val="center"/>
      </w:pPr>
      <w:r>
        <w:rPr>
          <w:rFonts w:ascii="Arial" w:hAnsi="Arial"/>
          <w:color w:val="68777D"/>
          <w:sz w:val="20"/>
        </w:rPr>
        <w:t>Preparar alegaciones al trámite de audiencia de una derivación, con acceso al expediente y defensa concreta del presupuesto y alcance.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Ya se notificó acuerdo definitivo; recurso venciendo sin defensa; responsabilidad del art. 42.2 tratada como si permitiera impugnar todas las liquidaciones; representación no acreditada.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BORRADOR SUJETO A REVISIÓN PROFESIONAL OBLIGATORIA</w:t>
      </w:r>
    </w:p>
    <w:p>
      <w:pPr>
        <w:pStyle w:val="Heading2"/>
      </w:pPr>
      <w:r>
        <w:t>ALEGACIONES EN AUDIENCIA PREVIA A DERIVACIÓN DE RESPONSABILIDAD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No utilizar como recurso contra un acuerdo definitivo ya notificado.</w:t>
      </w:r>
    </w:p>
    <w:p>
      <w:pPr>
        <w:pStyle w:val="Heading2"/>
      </w:pPr>
      <w:r>
        <w:t>A [ÓRGANO DE RECAUDACIÓN COMPETENTE]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Expediente: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Persona a la que se propone derivar: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Deudor principal: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, 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actuando </w:t>
      </w:r>
      <w:r>
        <w:rPr>
          <w:rFonts w:ascii="Arial" w:hAnsi="Arial"/>
          <w:b/>
          <w:color w:val="397CDD"/>
          <w:sz w:val="20"/>
          <w:shd w:fill="E8F0FB"/>
        </w:rPr>
        <w:t>[EN NOMBRE PROPIO / POR REPRESENTANTE ACREDITADO]</w:t>
      </w:r>
      <w:r>
        <w:rPr>
          <w:rFonts w:ascii="Arial" w:hAnsi="Arial"/>
          <w:color w:val="263A43"/>
          <w:sz w:val="20"/>
        </w:rPr>
        <w:t xml:space="preserve">, medio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comparece y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 se notificó </w:t>
      </w:r>
      <w:r>
        <w:rPr>
          <w:rFonts w:ascii="Arial" w:hAnsi="Arial"/>
          <w:b/>
          <w:color w:val="397CDD"/>
          <w:sz w:val="20"/>
          <w:shd w:fill="E8F0FB"/>
        </w:rPr>
        <w:t>[INICIO O PROPUESTA]</w:t>
      </w:r>
      <w:r>
        <w:rPr>
          <w:rFonts w:ascii="Arial" w:hAnsi="Arial"/>
          <w:color w:val="263A43"/>
          <w:sz w:val="20"/>
        </w:rPr>
        <w:t xml:space="preserve">, de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que propone declarar responsabilidad </w:t>
      </w:r>
      <w:r>
        <w:rPr>
          <w:rFonts w:ascii="Arial" w:hAnsi="Arial"/>
          <w:b/>
          <w:color w:val="397CDD"/>
          <w:sz w:val="20"/>
          <w:shd w:fill="E8F0FB"/>
        </w:rPr>
        <w:t>[SOLIDARIA / SUBSIDIARIA]</w:t>
      </w:r>
      <w:r>
        <w:rPr>
          <w:rFonts w:ascii="Arial" w:hAnsi="Arial"/>
          <w:color w:val="263A43"/>
          <w:sz w:val="20"/>
        </w:rPr>
        <w:t xml:space="preserve"> conforme al artículo </w:t>
      </w:r>
      <w:r>
        <w:rPr>
          <w:rFonts w:ascii="Arial" w:hAnsi="Arial"/>
          <w:b/>
          <w:color w:val="397CDD"/>
          <w:sz w:val="20"/>
          <w:shd w:fill="E8F0FB"/>
        </w:rPr>
        <w:t>[APARTADO Y LETRA EXACTOS]</w:t>
      </w:r>
      <w:r>
        <w:rPr>
          <w:rFonts w:ascii="Arial" w:hAnsi="Arial"/>
          <w:color w:val="263A43"/>
          <w:sz w:val="20"/>
        </w:rPr>
        <w:t xml:space="preserve"> de la Ley General Tributaria, por las deudas identificadas en </w:t>
      </w:r>
      <w:r>
        <w:rPr>
          <w:rFonts w:ascii="Arial" w:hAnsi="Arial"/>
          <w:b/>
          <w:color w:val="397CDD"/>
          <w:sz w:val="20"/>
          <w:shd w:fill="E8F0FB"/>
        </w:rPr>
        <w:t>[ANEXO]</w:t>
      </w:r>
      <w:r>
        <w:rPr>
          <w:rFonts w:ascii="Arial" w:hAnsi="Arial"/>
          <w:color w:val="263A43"/>
          <w:sz w:val="20"/>
        </w:rPr>
        <w:t xml:space="preserve">, con alcance propuesto de </w:t>
      </w:r>
      <w:r>
        <w:rPr>
          <w:rFonts w:ascii="Arial" w:hAnsi="Arial"/>
          <w:b/>
          <w:color w:val="397CDD"/>
          <w:sz w:val="20"/>
          <w:shd w:fill="E8F0FB"/>
        </w:rPr>
        <w:t>[IMPORTE]</w:t>
      </w:r>
      <w:r>
        <w:rPr>
          <w:rFonts w:ascii="Arial" w:hAnsi="Arial"/>
          <w:color w:val="263A43"/>
          <w:sz w:val="20"/>
        </w:rPr>
        <w:t xml:space="preserve"> euros.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El trámite conferido vence el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según cómputo revisado de </w:t>
      </w:r>
      <w:r>
        <w:rPr>
          <w:rFonts w:ascii="Arial" w:hAnsi="Arial"/>
          <w:b/>
          <w:color w:val="397CDD"/>
          <w:sz w:val="20"/>
          <w:shd w:fill="E8F0FB"/>
        </w:rPr>
        <w:t>[NOTIFICACIÓN Y NORMA]</w:t>
      </w:r>
      <w:r>
        <w:rPr>
          <w:rFonts w:ascii="Arial" w:hAnsi="Arial"/>
          <w:color w:val="263A43"/>
          <w:sz w:val="20"/>
        </w:rPr>
        <w:t>. Se formulan alegaciones concretas con los documentos disponibles, sin que una mera reserva de alegaciones o solicitud de expediente se invoque como prórroga automática.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El presupuesto fáctico que la propuesta atribuye a esta parte es </w:t>
      </w:r>
      <w:r>
        <w:rPr>
          <w:rFonts w:ascii="Arial" w:hAnsi="Arial"/>
          <w:b/>
          <w:color w:val="397CDD"/>
          <w:sz w:val="20"/>
          <w:shd w:fill="E8F0FB"/>
        </w:rPr>
        <w:t>[CONDUCTA, CARGO, COLABORACIÓN, OCULTACIÓN, SUCESIÓN U OTRO HECHO EXACTO]</w:t>
      </w:r>
      <w:r>
        <w:rPr>
          <w:rFonts w:ascii="Arial" w:hAnsi="Arial"/>
          <w:color w:val="263A43"/>
          <w:sz w:val="20"/>
        </w:rPr>
        <w:t xml:space="preserve">. La posición real y su cronología son </w:t>
      </w:r>
      <w:r>
        <w:rPr>
          <w:rFonts w:ascii="Arial" w:hAnsi="Arial"/>
          <w:b/>
          <w:color w:val="397CDD"/>
          <w:sz w:val="20"/>
          <w:shd w:fill="E8F0FB"/>
        </w:rPr>
        <w:t>[FECHAS DE CARGO, FUNCIONES EFECTIVAS, CESE, ACTUACIONES Y CONOCIMIENTO]</w:t>
      </w:r>
      <w:r>
        <w:rPr>
          <w:rFonts w:ascii="Arial" w:hAnsi="Arial"/>
          <w:color w:val="263A43"/>
          <w:sz w:val="20"/>
        </w:rPr>
        <w:t xml:space="preserve">, según </w:t>
      </w:r>
      <w:r>
        <w:rPr>
          <w:rFonts w:ascii="Arial" w:hAnsi="Arial"/>
          <w:b/>
          <w:color w:val="397CDD"/>
          <w:sz w:val="20"/>
          <w:shd w:fill="E8F0FB"/>
        </w:rPr>
        <w:t>[DOCUMENTOS]</w:t>
      </w:r>
      <w:r>
        <w:rPr>
          <w:rFonts w:ascii="Arial" w:hAnsi="Arial"/>
          <w:color w:val="263A43"/>
          <w:sz w:val="20"/>
        </w:rPr>
        <w:t>. No se equipara automáticamente figurar como administrador con concurrir cualquier supuesto de responsabilidad.</w:t>
      </w:r>
    </w:p>
    <w:p>
      <w:pPr>
        <w:pStyle w:val="Heading2"/>
      </w:pPr>
      <w:r>
        <w:t>ALEGACIONES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Primera. Presupuesto legal. El supuesto del artículo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exige </w:t>
      </w:r>
      <w:r>
        <w:rPr>
          <w:rFonts w:ascii="Arial" w:hAnsi="Arial"/>
          <w:b/>
          <w:color w:val="397CDD"/>
          <w:sz w:val="20"/>
          <w:shd w:fill="E8F0FB"/>
        </w:rPr>
        <w:t>[ELEMENTOS OBJETIVOS Y, CUANDO PROCEDA, SUBJETIVOS]</w:t>
      </w:r>
      <w:r>
        <w:rPr>
          <w:rFonts w:ascii="Arial" w:hAnsi="Arial"/>
          <w:color w:val="263A43"/>
          <w:sz w:val="20"/>
        </w:rPr>
        <w:t xml:space="preserve">. La propuesta considera probado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pero la documentación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acredita </w:t>
      </w:r>
      <w:r>
        <w:rPr>
          <w:rFonts w:ascii="Arial" w:hAnsi="Arial"/>
          <w:b/>
          <w:color w:val="397CDD"/>
          <w:sz w:val="20"/>
          <w:shd w:fill="E8F0FB"/>
        </w:rPr>
        <w:t>[HECHO CONTRARIO O INSUFICIENCIA CONCRETA]</w:t>
      </w:r>
      <w:r>
        <w:rPr>
          <w:rFonts w:ascii="Arial" w:hAnsi="Arial"/>
          <w:color w:val="263A43"/>
          <w:sz w:val="20"/>
        </w:rPr>
        <w:t>. Se solicita examinar de forma individualizada la conducta y el período, sin presunciones ajenas al supuesto legal.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Segunda. Prueba y motivación. Falta o se cuestiona </w:t>
      </w:r>
      <w:r>
        <w:rPr>
          <w:rFonts w:ascii="Arial" w:hAnsi="Arial"/>
          <w:b/>
          <w:color w:val="397CDD"/>
          <w:sz w:val="20"/>
          <w:shd w:fill="E8F0FB"/>
        </w:rPr>
        <w:t>[DOCUMENTO, ACTUACIÓN O RAZONAMIENTO ESPECÍFICO]</w:t>
      </w:r>
      <w:r>
        <w:rPr>
          <w:rFonts w:ascii="Arial" w:hAnsi="Arial"/>
          <w:color w:val="263A43"/>
          <w:sz w:val="20"/>
        </w:rPr>
        <w:t xml:space="preserve">, necesario para conectar </w:t>
      </w:r>
      <w:r>
        <w:rPr>
          <w:rFonts w:ascii="Arial" w:hAnsi="Arial"/>
          <w:b/>
          <w:color w:val="397CDD"/>
          <w:sz w:val="20"/>
          <w:shd w:fill="E8F0FB"/>
        </w:rPr>
        <w:t>[HECHO]</w:t>
      </w:r>
      <w:r>
        <w:rPr>
          <w:rFonts w:ascii="Arial" w:hAnsi="Arial"/>
          <w:color w:val="263A43"/>
          <w:sz w:val="20"/>
        </w:rPr>
        <w:t xml:space="preserve"> con </w:t>
      </w:r>
      <w:r>
        <w:rPr>
          <w:rFonts w:ascii="Arial" w:hAnsi="Arial"/>
          <w:b/>
          <w:color w:val="397CDD"/>
          <w:sz w:val="20"/>
          <w:shd w:fill="E8F0FB"/>
        </w:rPr>
        <w:t>[REQUISITO]</w:t>
      </w:r>
      <w:r>
        <w:rPr>
          <w:rFonts w:ascii="Arial" w:hAnsi="Arial"/>
          <w:color w:val="263A43"/>
          <w:sz w:val="20"/>
        </w:rPr>
        <w:t xml:space="preserve">. Se aporta </w:t>
      </w:r>
      <w:r>
        <w:rPr>
          <w:rFonts w:ascii="Arial" w:hAnsi="Arial"/>
          <w:b/>
          <w:color w:val="397CDD"/>
          <w:sz w:val="20"/>
          <w:shd w:fill="E8F0FB"/>
        </w:rPr>
        <w:t>[PRUEBA]</w:t>
      </w:r>
      <w:r>
        <w:rPr>
          <w:rFonts w:ascii="Arial" w:hAnsi="Arial"/>
          <w:color w:val="263A43"/>
          <w:sz w:val="20"/>
        </w:rPr>
        <w:t xml:space="preserve"> y se solicita incorporar </w:t>
      </w:r>
      <w:r>
        <w:rPr>
          <w:rFonts w:ascii="Arial" w:hAnsi="Arial"/>
          <w:b/>
          <w:color w:val="397CDD"/>
          <w:sz w:val="20"/>
          <w:shd w:fill="E8F0FB"/>
        </w:rPr>
        <w:t>[PIEZA IDENTIFICABLE]</w:t>
      </w:r>
      <w:r>
        <w:rPr>
          <w:rFonts w:ascii="Arial" w:hAnsi="Arial"/>
          <w:color w:val="263A43"/>
          <w:sz w:val="20"/>
        </w:rPr>
        <w:t>. No se sostiene que toda ausencia formal determine por sí misma nulidad.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Tercera. Alcance económico. La deuda </w:t>
      </w:r>
      <w:r>
        <w:rPr>
          <w:rFonts w:ascii="Arial" w:hAnsi="Arial"/>
          <w:b/>
          <w:color w:val="397CDD"/>
          <w:sz w:val="20"/>
          <w:shd w:fill="E8F0FB"/>
        </w:rPr>
        <w:t>[CLAVE]</w:t>
      </w:r>
      <w:r>
        <w:rPr>
          <w:rFonts w:ascii="Arial" w:hAnsi="Arial"/>
          <w:color w:val="263A43"/>
          <w:sz w:val="20"/>
        </w:rPr>
        <w:t xml:space="preserve"> se incluye por </w:t>
      </w:r>
      <w:r>
        <w:rPr>
          <w:rFonts w:ascii="Arial" w:hAnsi="Arial"/>
          <w:b/>
          <w:color w:val="397CDD"/>
          <w:sz w:val="20"/>
          <w:shd w:fill="E8F0FB"/>
        </w:rPr>
        <w:t>[IMPORTE Y CONCEPTO]</w:t>
      </w:r>
      <w:r>
        <w:rPr>
          <w:rFonts w:ascii="Arial" w:hAnsi="Arial"/>
          <w:color w:val="263A43"/>
          <w:sz w:val="20"/>
        </w:rPr>
        <w:t xml:space="preserve">, cuya procedencia dentro del alcance se discute por </w:t>
      </w:r>
      <w:r>
        <w:rPr>
          <w:rFonts w:ascii="Arial" w:hAnsi="Arial"/>
          <w:b/>
          <w:color w:val="397CDD"/>
          <w:sz w:val="20"/>
          <w:shd w:fill="E8F0FB"/>
        </w:rPr>
        <w:t>[PAGO, PERÍODO, LÍMITE LEGAL U OTRO MOTIVO ADMISIBLE]</w:t>
      </w:r>
      <w:r>
        <w:rPr>
          <w:rFonts w:ascii="Arial" w:hAnsi="Arial"/>
          <w:color w:val="263A43"/>
          <w:sz w:val="20"/>
        </w:rPr>
        <w:t xml:space="preserve">. El cálculo alternativo razonado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La posibilidad de discutir liquidaciones se limita al régimen del artículo 174.5 y sus excepciones; en particular, se revisará separadamente el supuesto del artículo 42.2, sin formular una impugnación general no permitida.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Cuarta. </w:t>
      </w:r>
      <w:r>
        <w:rPr>
          <w:rFonts w:ascii="Arial" w:hAnsi="Arial"/>
          <w:b/>
          <w:color w:val="397CDD"/>
          <w:sz w:val="20"/>
          <w:shd w:fill="E8F0FB"/>
        </w:rPr>
        <w:t>[SOLO EN RESPONSABILIDAD SUBSIDIARIA Y SI PROCEDE]</w:t>
      </w:r>
      <w:r>
        <w:rPr>
          <w:rFonts w:ascii="Arial" w:hAnsi="Arial"/>
          <w:color w:val="263A43"/>
          <w:sz w:val="20"/>
        </w:rPr>
        <w:t xml:space="preserve">. Se solicita comprobar y documentar la declaración de fallido del deudor principal y, en su caso, de los responsables solidarios, con su fecha y alcance. La objeción concreta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respaldada por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No se traslada este requisito a una responsabilidad solidaria que no lo exija.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Que tenga por formuladas las alegaciones, incorpore la prueba y deje sin efecto la propuesta respecto de esta parte por </w:t>
      </w:r>
      <w:r>
        <w:rPr>
          <w:rFonts w:ascii="Arial" w:hAnsi="Arial"/>
          <w:b/>
          <w:color w:val="397CDD"/>
          <w:sz w:val="20"/>
          <w:shd w:fill="E8F0FB"/>
        </w:rPr>
        <w:t>[MOTIVO CONCRETO]</w:t>
      </w:r>
      <w:r>
        <w:rPr>
          <w:rFonts w:ascii="Arial" w:hAnsi="Arial"/>
          <w:color w:val="263A43"/>
          <w:sz w:val="20"/>
        </w:rPr>
        <w:t xml:space="preserve">. Subsidiariamente, que excluya </w:t>
      </w:r>
      <w:r>
        <w:rPr>
          <w:rFonts w:ascii="Arial" w:hAnsi="Arial"/>
          <w:b/>
          <w:color w:val="397CDD"/>
          <w:sz w:val="20"/>
          <w:shd w:fill="E8F0FB"/>
        </w:rPr>
        <w:t>[DEUDA O IMPORTE]</w:t>
      </w:r>
      <w:r>
        <w:rPr>
          <w:rFonts w:ascii="Arial" w:hAnsi="Arial"/>
          <w:color w:val="263A43"/>
          <w:sz w:val="20"/>
        </w:rPr>
        <w:t xml:space="preserve"> y motive individualmente cualquier alcance que se mantenga.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Que facilite acceso y copia íntegra de </w:t>
      </w:r>
      <w:r>
        <w:rPr>
          <w:rFonts w:ascii="Arial" w:hAnsi="Arial"/>
          <w:b/>
          <w:color w:val="397CDD"/>
          <w:sz w:val="20"/>
          <w:shd w:fill="E8F0FB"/>
        </w:rPr>
        <w:t>[PIEZAS ESENCIALES]</w:t>
      </w:r>
      <w:r>
        <w:rPr>
          <w:rFonts w:ascii="Arial" w:hAnsi="Arial"/>
          <w:color w:val="263A43"/>
          <w:sz w:val="20"/>
        </w:rPr>
        <w:t>, incluidas las notificaciones y antecedentes relevantes, permitiendo su examen efectivo en los términos legales.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</w:t>
      </w:r>
      <w:r>
        <w:rPr>
          <w:rFonts w:ascii="Arial" w:hAnsi="Arial"/>
          <w:b/>
          <w:color w:val="397CDD"/>
          <w:sz w:val="20"/>
          <w:shd w:fill="E8F0FB"/>
        </w:rPr>
        <w:t>[SOLO SI SE SOLICITA EN TIEMPO Y PROCEDE]</w:t>
      </w:r>
      <w:r>
        <w:rPr>
          <w:rFonts w:ascii="Arial" w:hAnsi="Arial"/>
          <w:color w:val="263A43"/>
          <w:sz w:val="20"/>
        </w:rPr>
        <w:t xml:space="preserve">. Que acuerde ampliación del plazo de audiencia por </w:t>
      </w:r>
      <w:r>
        <w:rPr>
          <w:rFonts w:ascii="Arial" w:hAnsi="Arial"/>
          <w:b/>
          <w:color w:val="397CDD"/>
          <w:sz w:val="20"/>
          <w:shd w:fill="E8F0FB"/>
        </w:rPr>
        <w:t>[RAZÓN ACREDITADA]</w:t>
      </w:r>
      <w:r>
        <w:rPr>
          <w:rFonts w:ascii="Arial" w:hAnsi="Arial"/>
          <w:color w:val="263A43"/>
          <w:sz w:val="20"/>
        </w:rPr>
        <w:t>, conforme a la norma aplicable. Mientras no exista efecto legal o acuerdo que lo permita, se mantiene el cumplimiento del plazo original.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</w:t>
      </w:r>
      <w:r>
        <w:rPr>
          <w:rFonts w:ascii="Arial" w:hAnsi="Arial"/>
          <w:b/>
          <w:color w:val="397CDD"/>
          <w:sz w:val="20"/>
          <w:shd w:fill="E8F0FB"/>
        </w:rPr>
        <w:t>[ÍNDICE DE DOCUMENTOS Y RELACIÓN CON CADA ALEGACIÓN]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Preparar alegaciones al trámite de audiencia de una derivación, con acceso al expediente y defensa concreta del presupuesto y alcance.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Se ha notificado inicio o propuesta de derivación y está abierto el trámite de audiencia, con profesional que revise causa, deudas y expediente.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Ya se notificó acuerdo definitivo; recurso venciendo sin defensa; responsabilidad del art. 42.2 tratada como si permitiera impugnar todas las liquidaciones; representación no acreditada.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El plazo de audiencia de la notificación. Solicitar copia o ampliación no autoriza a dejarlo vencer. Si existe acuerdo definitivo, revisar inmediatamente el recurso procedente y su plazo, normalmente un mes en régimen estatal general.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Sede electrónica y trámite del expediente de derivación, con identificación de propuesta, deudor principal y representante.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PROFESIONAL OBLIGATORIA ANTES DE PRESENTAR. Es una condición de seguridad editorial, no una afirmación de que abogado sea legalmente preceptivo en toda audiencia tributaria.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Inicio/propuesta completa; fundamento 42/43; expediente; deudas y notificaciones; cargos y cese; actuaciones reales; fallido cuando proceda; prueba patrimonial y pagos.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profesional obligatoria por política de seguridad del recurso. Se acota a audiencia previa, no a recurso contra acuerdo final ni a una reserva vacía que aparente salvar plazos.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 tributario estatal de régimen común. No trasladar automáticamente a haciendas forales, tributos locales, aduanas o asistencia mutua. Verificar el tributo, período, órgano, sede y normativa del procedimiento. La presentación de un escrito libre no sustituye un modelo oficial exigible ni produce por sí sola suspensión. Conservar notificaciones, CSV, acuses y copia íntegra.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ÓRGANO DE RECAUDACIÓN COMPETENTE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EN NOMBRE PROPIO / POR REPRESENTANTE ACREDITADO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INICIO O PROPUESTA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SOLIDARIA / SUBSIDIARIA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APARTADO Y LETRA EXACTOS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ANEXO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IMPORTE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NOTIFICACIÓN Y NORMA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CONDUCTA, CARGO, COLABORACIÓN, OCULTACIÓN, SUCESIÓN U OTRO HECHO EXACTO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FECHAS DE CARGO, FUNCIONES EFECTIVAS, CESE, ACTUACIONES Y CONOCIMIENTO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ELEMENTOS OBJETIVOS Y, CUANDO PROCEDA, SUBJETIVOS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HECHO CONTRARIO O INSUFICIENCIA CONCRETA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DOCUMENTO, ACTUACIÓN O RAZONAMIENTO ESPECÍFICO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HECHO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REQUISITO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PRUEBA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PIEZA IDENTIFICABLE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CLAVE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IMPORTE Y CONCEPTO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PAGO, PERÍODO, LÍMITE LEGAL U OTRO MOTIVO ADMISIBLE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SOLO EN RESPONSABILIDAD SUBSIDIARIA Y SI PROCEDE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MOTIVO CONCRETO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DEUDA O IMPORTE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PIEZAS ESENCIALES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SOLO SI SE SOLICITA EN TIEMPO Y PROCEDE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RAZÓN ACREDITADA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ÍNDICE DE DOCUMENTOS Y RELACIÓN CON CADA ALEGACIÓN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58/2003, General Tributaria — https://www.boe.es/eli/es/l/2003/12/17/58/con: arts. 34, 41 a 43, 99 y 174 a 176.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 939/2005, Reglamento General de Recaudación — https://www.boe.es/eli/es/rd/2005/07/29/939/con: arts. 124 a 126, según el supuesto.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