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Lines w:val="0"/>
        <w:widowControl/>
        <w:spacing w:after="100"/>
      </w:pPr>
      <w:r>
        <w:rPr>
          <w:b/>
          <w:color w:val="123D43"/>
          <w:sz w:val="18"/>
        </w:rPr>
        <w:t>INMOBILIARIO</w:t>
      </w:r>
    </w:p>
    <w:p>
      <w:pPr>
        <w:pStyle w:val="Title"/>
        <w:keepLines w:val="0"/>
        <w:widowControl/>
        <w:spacing w:after="180"/>
        <w:jc w:val="center"/>
      </w:pPr>
      <w:r>
        <w:rPr>
          <w:rFonts w:ascii="Georgia" w:hAnsi="Georgia"/>
          <w:b/>
          <w:color w:val="000000"/>
          <w:sz w:val="42"/>
        </w:rPr>
        <w:t>Entrega de llaves e inventario al terminar el alquiler</w:t>
      </w:r>
    </w:p>
    <w:p>
      <w:pPr>
        <w:keepLines w:val="0"/>
        <w:widowControl/>
        <w:spacing w:after="160"/>
      </w:pPr>
      <w:r>
        <w:t>Deja constancia de la devolución de la vivienda, sus llaves y su estado, separando la entrega de los saldos y desacuerdos pendientes.</w:t>
      </w:r>
    </w:p>
    <w:p>
      <w:pPr>
        <w:pStyle w:val="Heading1"/>
        <w:keepNext/>
        <w:keepLines w:val="0"/>
        <w:widowControl/>
        <w:spacing w:before="160" w:after="80"/>
        <w:jc w:val="center"/>
      </w:pPr>
      <w:r>
        <w:rPr>
          <w:rFonts w:ascii="Arial" w:hAnsi="Arial"/>
          <w:b/>
          <w:color w:val="000000"/>
          <w:sz w:val="24"/>
        </w:rPr>
        <w:t>Instrucciones que debes separar de la plantilla</w:t>
      </w:r>
    </w:p>
    <w:p>
      <w:pPr>
        <w:keepLines w:val="0"/>
        <w:widowControl/>
        <w:spacing w:after="100"/>
      </w:pPr>
      <w:r>
        <w:t>Este modelo está pensado para la devolución de una vivienda al terminar un alquiler. Se firma después de comprobar conjuntamente el inmueble y los anexos. No sustituye una notificación de desistimiento ni un acuerdo sobre la fecha o las consecuencias de la terminación.</w:t>
      </w:r>
    </w:p>
    <w:p>
      <w:pPr>
        <w:pStyle w:val="Heading2"/>
        <w:keepNext/>
        <w:keepLines w:val="0"/>
        <w:widowControl/>
        <w:spacing w:before="160" w:after="80"/>
      </w:pPr>
      <w:r>
        <w:rPr>
          <w:rFonts w:ascii="Arial" w:hAnsi="Arial"/>
          <w:b/>
          <w:color w:val="000000"/>
          <w:sz w:val="21"/>
        </w:rPr>
        <w:t>Antes de la visita</w:t>
      </w:r>
    </w:p>
    <w:p>
      <w:pPr>
        <w:keepLines w:val="0"/>
        <w:widowControl/>
        <w:spacing w:after="80"/>
      </w:pPr>
      <w:r>
        <w:t>Reúne contrato, inventario inicial, fotografías, comunicaciones de terminación y pagos. Identifica a quienes firman y, si actúan por otra persona, comprueba su representación. Para una compraventa, un local o una entrega judicial necesitas un documento adaptado.</w:t>
      </w:r>
    </w:p>
    <w:p>
      <w:pPr>
        <w:pStyle w:val="Heading2"/>
        <w:keepNext/>
        <w:keepLines w:val="0"/>
        <w:widowControl/>
        <w:spacing w:before="160" w:after="80"/>
      </w:pPr>
      <w:r>
        <w:rPr>
          <w:rFonts w:ascii="Arial" w:hAnsi="Arial"/>
          <w:b/>
          <w:color w:val="000000"/>
          <w:sz w:val="21"/>
        </w:rPr>
        <w:t>Cómo completarlo</w:t>
      </w:r>
    </w:p>
    <w:p>
      <w:pPr>
        <w:keepLines w:val="0"/>
        <w:widowControl/>
        <w:spacing w:after="80"/>
      </w:pPr>
      <w:r>
        <w:t>Describe el estado de cada estancia y accesorio. Separa hechos observados, desgaste y daños discutidos; no atribuyas la causa si no se conoce. Numera las fotografías y firma o identifica cada anexo. Cuenta llaves y mandos y anota qué queda pendiente.</w:t>
      </w:r>
    </w:p>
    <w:p>
      <w:pPr>
        <w:pStyle w:val="Heading2"/>
        <w:keepNext/>
        <w:keepLines w:val="0"/>
        <w:widowControl/>
        <w:spacing w:before="160" w:after="80"/>
      </w:pPr>
      <w:r>
        <w:rPr>
          <w:rFonts w:ascii="Arial" w:hAnsi="Arial"/>
          <w:b/>
          <w:color w:val="000000"/>
          <w:sz w:val="21"/>
        </w:rPr>
        <w:t>Ejemplo ficticio que debes eliminar</w:t>
      </w:r>
    </w:p>
    <w:p>
      <w:pPr>
        <w:keepLines w:val="0"/>
        <w:widowControl/>
        <w:spacing w:after="80"/>
      </w:pPr>
      <w:r>
        <w:t>En la cocina se observa una marca en la encimera. El arrendador la considera daño y el arrendatario indica que consta en las fotos de entrada. Registra ambas posiciones y sus documentos; no pongas que hay acuerdo ni fijes un descuento que no se ha aceptado.</w:t>
      </w:r>
    </w:p>
    <w:p>
      <w:pPr>
        <w:pStyle w:val="Heading2"/>
        <w:keepNext/>
        <w:keepLines w:val="0"/>
        <w:widowControl/>
        <w:spacing w:before="160" w:after="80"/>
      </w:pPr>
      <w:r>
        <w:rPr>
          <w:rFonts w:ascii="Arial" w:hAnsi="Arial"/>
          <w:b/>
          <w:color w:val="000000"/>
          <w:sz w:val="21"/>
        </w:rPr>
        <w:t>Fianza y régimen aplicable</w:t>
      </w:r>
    </w:p>
    <w:p>
      <w:pPr>
        <w:keepLines w:val="0"/>
        <w:widowControl/>
        <w:spacing w:after="80"/>
      </w:pPr>
      <w:r>
        <w:t>La entrega y la liquidación son operaciones diferentes. Registra cada pago real, reserva los importes discutidos y evita una renuncia general. El artículo 36.4 LAU regula el interés del saldo de fianza debido. El apartado 36.7 incorpora reglas sobre el documento de estado: revisa su aplicación temporal al contrato antes de invocarlas. No se presupone devolución íntegra ni descuento automático.</w:t>
      </w:r>
    </w:p>
    <w:p>
      <w:pPr>
        <w:pStyle w:val="Heading2"/>
        <w:keepNext/>
        <w:keepLines w:val="0"/>
        <w:widowControl/>
        <w:spacing w:before="160" w:after="80"/>
      </w:pPr>
      <w:r>
        <w:rPr>
          <w:rFonts w:ascii="Arial" w:hAnsi="Arial"/>
          <w:b/>
          <w:color w:val="000000"/>
          <w:sz w:val="21"/>
        </w:rPr>
        <w:t>Fuentes y revisión</w:t>
      </w:r>
    </w:p>
    <w:p>
      <w:pPr>
        <w:keepLines w:val="0"/>
        <w:widowControl/>
        <w:spacing w:after="80"/>
      </w:pPr>
      <w:r>
        <w:t>LAU, artículos 21 y 36; Código Civil, artículos 1561 a 1563. La devolución debe valorar el estado inicial, el uso, los hechos y la prueba. Este documento no calcula una deuda ni decide quién debe asumir cada reparación.</w:t>
      </w:r>
    </w:p>
    <w:p>
      <w:pPr>
        <w:keepLines w:val="0"/>
        <w:widowControl/>
        <w:spacing w:after="60"/>
      </w:pPr>
      <w:hyperlink r:id="rId19">
        <w:r>
          <w:rPr>
            <w:color w:val="286A85"/>
            <w:u w:val="single"/>
          </w:rPr>
          <w:t>Ley 29/1994 de Arrendamientos Urbanos</w:t>
        </w:r>
      </w:hyperlink>
    </w:p>
    <w:p>
      <w:pPr>
        <w:keepLines w:val="0"/>
        <w:widowControl/>
        <w:spacing w:after="60"/>
      </w:pPr>
      <w:hyperlink r:id="rId20">
        <w:r>
          <w:rPr>
            <w:color w:val="286A85"/>
            <w:u w:val="single"/>
          </w:rPr>
          <w:t>Código Civil</w:t>
        </w:r>
      </w:hyperlink>
    </w:p>
    <w:p>
      <w:pPr>
        <w:keepLines w:val="0"/>
        <w:widowControl/>
        <w:spacing w:after="80"/>
      </w:pPr>
      <w:r>
        <w:t>Revisión de contenido de 28 de octubre de 2026. Completa los campos azules con hechos reales, elimina los ejemplos e instrucciones y revisa destinatario, documentos y firma. Conserva una copia y la prueba de envío o entrega cuando proceda.</w:t>
      </w:r>
    </w:p>
    <w:p>
      <w:r>
        <w:br w:type="page"/>
      </w:r>
    </w:p>
    <w:p>
      <w:pPr>
        <w:pStyle w:val="Heading1"/>
        <w:keepNext/>
        <w:keepLines w:val="0"/>
        <w:widowControl/>
        <w:spacing w:before="160" w:after="80"/>
        <w:jc w:val="center"/>
      </w:pPr>
      <w:r>
        <w:rPr>
          <w:rFonts w:ascii="Arial" w:hAnsi="Arial"/>
          <w:b/>
          <w:color w:val="000000"/>
          <w:sz w:val="24"/>
        </w:rPr>
        <w:t>Entrega de llaves y estado de la vivienda alquilada</w:t>
      </w:r>
    </w:p>
    <w:p>
      <w:pPr>
        <w:keepLines w:val="0"/>
        <w:widowControl/>
      </w:pPr>
      <w:r>
        <w:t xml:space="preserve">En </w:t>
      </w:r>
      <w:r>
        <w:rPr>
          <w:color w:val="397CDD"/>
        </w:rPr>
        <w:t>[LOCALIDAD]</w:t>
      </w:r>
      <w:r>
        <w:t xml:space="preserve">, el </w:t>
      </w:r>
      <w:r>
        <w:rPr>
          <w:color w:val="397CDD"/>
        </w:rPr>
        <w:t>[FECHA]</w:t>
      </w:r>
      <w:r>
        <w:t xml:space="preserve">, a las </w:t>
      </w:r>
      <w:r>
        <w:rPr>
          <w:color w:val="397CDD"/>
        </w:rPr>
        <w:t>[HORA]</w:t>
      </w:r>
      <w:r>
        <w:t xml:space="preserve">, comparecen </w:t>
      </w:r>
      <w:r>
        <w:rPr>
          <w:color w:val="397CDD"/>
        </w:rPr>
        <w:t>[ARRENDADOR Y CONTACTO PARA RESPUESTA]</w:t>
      </w:r>
      <w:r>
        <w:t xml:space="preserve"> y </w:t>
      </w:r>
      <w:r>
        <w:rPr>
          <w:color w:val="397CDD"/>
        </w:rPr>
        <w:t>[ARRENDATARIO Y CONTACTO PARA RESPUESTA]</w:t>
      </w:r>
      <w:r>
        <w:t xml:space="preserve">, por sí o representados por </w:t>
      </w:r>
      <w:r>
        <w:rPr>
          <w:color w:val="397CDD"/>
        </w:rPr>
        <w:t>[PERSONA Y TÍTULO DE REPRESENTACIÓN COMPROBADO]</w:t>
      </w:r>
      <w:r>
        <w:t>.</w:t>
      </w:r>
    </w:p>
    <w:p>
      <w:pPr>
        <w:keepLines w:val="0"/>
        <w:widowControl/>
      </w:pPr>
      <w:r>
        <w:t xml:space="preserve">La vivienda está situada en </w:t>
      </w:r>
      <w:r>
        <w:rPr>
          <w:color w:val="397CDD"/>
        </w:rPr>
        <w:t>[DIRECCIÓN Y ANEXOS INCLUIDOS]</w:t>
      </w:r>
      <w:r>
        <w:t xml:space="preserve">. Contrato de </w:t>
      </w:r>
      <w:r>
        <w:rPr>
          <w:color w:val="397CDD"/>
        </w:rPr>
        <w:t>[FECHA]</w:t>
      </w:r>
      <w:r>
        <w:t xml:space="preserve">. El documento o comunicación relativo a su terminación es </w:t>
      </w:r>
      <w:r>
        <w:rPr>
          <w:color w:val="397CDD"/>
        </w:rPr>
        <w:t>[IDENTIFICACIÓN Y FECHA; O CUESTIÓN PENDIENTE DE ACUERDO]</w:t>
      </w:r>
      <w:r>
        <w:t>.</w:t>
      </w:r>
    </w:p>
    <w:p>
      <w:pPr>
        <w:pStyle w:val="Heading2"/>
        <w:keepNext/>
        <w:keepLines w:val="0"/>
        <w:widowControl/>
        <w:spacing w:before="160" w:after="80"/>
      </w:pPr>
      <w:r>
        <w:rPr>
          <w:rFonts w:ascii="Arial" w:hAnsi="Arial"/>
          <w:b/>
          <w:color w:val="000000"/>
          <w:sz w:val="21"/>
        </w:rPr>
        <w:t>Entrega y recepción</w:t>
      </w:r>
    </w:p>
    <w:p>
      <w:pPr>
        <w:keepLines w:val="0"/>
        <w:widowControl/>
      </w:pPr>
      <w:r>
        <w:t xml:space="preserve">El arrendatario entrega y el arrendador recibe la posesión y los elementos de acceso relacionados abajo en la fecha y hora indicadas. Las reservas o incidencias de esta entrega son </w:t>
      </w:r>
      <w:r>
        <w:rPr>
          <w:color w:val="397CDD"/>
        </w:rPr>
        <w:t>[DETALLE; O NINGUNA OBSERVADA]</w:t>
      </w:r>
      <w:r>
        <w:t>. La recepción no implica, por sí sola, una liquidación total ni conformidad con las cantidades que se discutan.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61"/>
        <w:gridCol w:w="6463"/>
      </w:tblGrid>
      <w:tr>
        <w:trPr>
          <w:tblHeader w:val="true"/>
          <w:cantSplit/>
        </w:trPr>
        <w:tc>
          <w:tcPr>
            <w:tcW w:type="dxa" w:w="306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D43"/>
          </w:tcPr>
          <w:p>
            <w:pPr>
              <w:spacing w:before="0" w:after="40" w:line="245" w:lineRule="auto"/>
            </w:pPr>
            <w:r>
              <w:rPr>
                <w:b/>
                <w:color w:val="FFFFFF"/>
                <w:sz w:val="20"/>
              </w:rPr>
              <w:t>Acceso o elemento</w:t>
            </w:r>
          </w:p>
        </w:tc>
        <w:tc>
          <w:tcPr>
            <w:tcW w:type="dxa" w:w="6463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D43"/>
          </w:tcPr>
          <w:p>
            <w:pPr>
              <w:spacing w:before="0" w:after="40" w:line="245" w:lineRule="auto"/>
            </w:pPr>
            <w:r>
              <w:rPr>
                <w:b/>
                <w:color w:val="FFFFFF"/>
                <w:sz w:val="20"/>
              </w:rPr>
              <w:t>Cantidad entregada y observaciones</w:t>
            </w:r>
          </w:p>
        </w:tc>
      </w:tr>
      <w:tr>
        <w:trPr>
          <w:cantSplit/>
        </w:trPr>
        <w:tc>
          <w:tcPr>
            <w:tcW w:type="dxa" w:w="306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40" w:line="245" w:lineRule="auto"/>
            </w:pPr>
            <w:r>
              <w:rPr>
                <w:sz w:val="20"/>
              </w:rPr>
            </w:r>
            <w:r>
              <w:rPr>
                <w:sz w:val="20"/>
              </w:rPr>
              <w:t>Vivienda y portal</w:t>
            </w:r>
          </w:p>
        </w:tc>
        <w:tc>
          <w:tcPr>
            <w:tcW w:type="dxa" w:w="6463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40" w:line="245" w:lineRule="auto"/>
            </w:pPr>
            <w:r>
              <w:rPr>
                <w:sz w:val="20"/>
              </w:rPr>
            </w:r>
            <w:r>
              <w:rPr>
                <w:color w:val="397CDD"/>
                <w:sz w:val="20"/>
              </w:rPr>
              <w:t>[LLAVES ENTREGADAS Y PENDIENTES]</w:t>
            </w:r>
          </w:p>
        </w:tc>
      </w:tr>
      <w:tr>
        <w:trPr>
          <w:cantSplit/>
        </w:trPr>
        <w:tc>
          <w:tcPr>
            <w:tcW w:type="dxa" w:w="306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40" w:line="245" w:lineRule="auto"/>
            </w:pPr>
            <w:r>
              <w:rPr>
                <w:sz w:val="20"/>
              </w:rPr>
            </w:r>
            <w:r>
              <w:rPr>
                <w:sz w:val="20"/>
              </w:rPr>
              <w:t>Garaje trastero y buzón</w:t>
            </w:r>
          </w:p>
        </w:tc>
        <w:tc>
          <w:tcPr>
            <w:tcW w:type="dxa" w:w="6463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40" w:line="245" w:lineRule="auto"/>
            </w:pPr>
            <w:r>
              <w:rPr>
                <w:sz w:val="20"/>
              </w:rPr>
            </w:r>
            <w:r>
              <w:rPr>
                <w:color w:val="397CDD"/>
                <w:sz w:val="20"/>
              </w:rPr>
              <w:t>[ELEMENTOS INCLUIDOS O NO APLICA]</w:t>
            </w:r>
          </w:p>
        </w:tc>
      </w:tr>
      <w:tr>
        <w:trPr>
          <w:cantSplit/>
        </w:trPr>
        <w:tc>
          <w:tcPr>
            <w:tcW w:type="dxa" w:w="306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40" w:line="245" w:lineRule="auto"/>
            </w:pPr>
            <w:r>
              <w:rPr>
                <w:sz w:val="20"/>
              </w:rPr>
            </w:r>
            <w:r>
              <w:rPr>
                <w:sz w:val="20"/>
              </w:rPr>
              <w:t>Mandos y otros accesos</w:t>
            </w:r>
          </w:p>
        </w:tc>
        <w:tc>
          <w:tcPr>
            <w:tcW w:type="dxa" w:w="6463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40" w:line="245" w:lineRule="auto"/>
            </w:pPr>
            <w:r>
              <w:rPr>
                <w:sz w:val="20"/>
              </w:rPr>
            </w:r>
            <w:r>
              <w:rPr>
                <w:color w:val="397CDD"/>
                <w:sz w:val="20"/>
              </w:rPr>
              <w:t>[CANTIDAD Y OBSERVACIONES]</w:t>
            </w:r>
          </w:p>
        </w:tc>
      </w:tr>
    </w:tbl>
    <w:p>
      <w:pPr>
        <w:keepLines w:val="0"/>
        <w:widowControl/>
        <w:spacing w:after="40"/>
      </w:pPr>
    </w:p>
    <w:p>
      <w:pPr>
        <w:pStyle w:val="Heading2"/>
        <w:keepNext/>
        <w:keepLines w:val="0"/>
        <w:widowControl/>
        <w:spacing w:before="160" w:after="80"/>
      </w:pPr>
      <w:r>
        <w:rPr>
          <w:rFonts w:ascii="Arial" w:hAnsi="Arial"/>
          <w:b/>
          <w:color w:val="000000"/>
          <w:sz w:val="21"/>
        </w:rPr>
        <w:t>Estado y anexos comprobados</w:t>
      </w:r>
    </w:p>
    <w:p>
      <w:pPr>
        <w:keepLines w:val="0"/>
        <w:widowControl/>
      </w:pPr>
      <w:r>
        <w:t xml:space="preserve">El estado se describe tras la revisión de </w:t>
      </w:r>
      <w:r>
        <w:rPr>
          <w:color w:val="397CDD"/>
        </w:rPr>
        <w:t>[ESTANCIAS Y ELEMENTOS REVISADOS; INDICAR LO NO ACCESIBLE]</w:t>
      </w:r>
      <w:r>
        <w:t xml:space="preserve">. La referencia inicial utilizada es </w:t>
      </w:r>
      <w:r>
        <w:rPr>
          <w:color w:val="397CDD"/>
        </w:rPr>
        <w:t>[INVENTARIO Y FOTOS DE ENTRADA; O NO DISPONIBLE]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61"/>
        <w:gridCol w:w="6463"/>
      </w:tblGrid>
      <w:tr>
        <w:trPr>
          <w:tblHeader w:val="true"/>
          <w:cantSplit/>
        </w:trPr>
        <w:tc>
          <w:tcPr>
            <w:tcW w:type="dxa" w:w="306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D43"/>
          </w:tcPr>
          <w:p>
            <w:pPr>
              <w:spacing w:before="0" w:after="40" w:line="245" w:lineRule="auto"/>
            </w:pPr>
            <w:r>
              <w:rPr>
                <w:b/>
                <w:color w:val="FFFFFF"/>
                <w:sz w:val="20"/>
              </w:rPr>
              <w:t>Zona o elemento</w:t>
            </w:r>
          </w:p>
        </w:tc>
        <w:tc>
          <w:tcPr>
            <w:tcW w:type="dxa" w:w="6463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D43"/>
          </w:tcPr>
          <w:p>
            <w:pPr>
              <w:spacing w:before="0" w:after="40" w:line="245" w:lineRule="auto"/>
            </w:pPr>
            <w:r>
              <w:rPr>
                <w:b/>
                <w:color w:val="FFFFFF"/>
                <w:sz w:val="20"/>
              </w:rPr>
              <w:t>Estado observado y prueba</w:t>
            </w:r>
          </w:p>
        </w:tc>
      </w:tr>
      <w:tr>
        <w:trPr>
          <w:cantSplit/>
        </w:trPr>
        <w:tc>
          <w:tcPr>
            <w:tcW w:type="dxa" w:w="306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40" w:line="245" w:lineRule="auto"/>
            </w:pPr>
            <w:r>
              <w:rPr>
                <w:sz w:val="20"/>
              </w:rPr>
            </w:r>
            <w:r>
              <w:rPr>
                <w:sz w:val="20"/>
              </w:rPr>
              <w:t>Paredes suelos y techos</w:t>
            </w:r>
          </w:p>
        </w:tc>
        <w:tc>
          <w:tcPr>
            <w:tcW w:type="dxa" w:w="6463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40" w:line="245" w:lineRule="auto"/>
            </w:pPr>
            <w:r>
              <w:rPr>
                <w:sz w:val="20"/>
              </w:rPr>
            </w:r>
            <w:r>
              <w:rPr>
                <w:color w:val="397CDD"/>
                <w:sz w:val="20"/>
              </w:rPr>
              <w:t>[DESCRIPCIÓN Y FOTO O ANEXO]</w:t>
            </w:r>
          </w:p>
        </w:tc>
      </w:tr>
      <w:tr>
        <w:trPr>
          <w:cantSplit/>
        </w:trPr>
        <w:tc>
          <w:tcPr>
            <w:tcW w:type="dxa" w:w="306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40" w:line="245" w:lineRule="auto"/>
            </w:pPr>
            <w:r>
              <w:rPr>
                <w:sz w:val="20"/>
              </w:rPr>
            </w:r>
            <w:r>
              <w:rPr>
                <w:sz w:val="20"/>
              </w:rPr>
              <w:t>Cocina baños e instalaciones</w:t>
            </w:r>
          </w:p>
        </w:tc>
        <w:tc>
          <w:tcPr>
            <w:tcW w:type="dxa" w:w="6463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40" w:line="245" w:lineRule="auto"/>
            </w:pPr>
            <w:r>
              <w:rPr>
                <w:sz w:val="20"/>
              </w:rPr>
            </w:r>
            <w:r>
              <w:rPr>
                <w:color w:val="397CDD"/>
                <w:sz w:val="20"/>
              </w:rPr>
              <w:t>[DESCRIPCIÓN FUNCIONAMIENTO COMPROBADO O PENDIENTE]</w:t>
            </w:r>
          </w:p>
        </w:tc>
      </w:tr>
      <w:tr>
        <w:trPr>
          <w:cantSplit/>
        </w:trPr>
        <w:tc>
          <w:tcPr>
            <w:tcW w:type="dxa" w:w="306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40" w:line="245" w:lineRule="auto"/>
            </w:pPr>
            <w:r>
              <w:rPr>
                <w:sz w:val="20"/>
              </w:rPr>
            </w:r>
            <w:r>
              <w:rPr>
                <w:sz w:val="20"/>
              </w:rPr>
              <w:t>Muebles electrodomésticos y anexos</w:t>
            </w:r>
          </w:p>
        </w:tc>
        <w:tc>
          <w:tcPr>
            <w:tcW w:type="dxa" w:w="6463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40" w:line="245" w:lineRule="auto"/>
            </w:pPr>
            <w:r>
              <w:rPr>
                <w:sz w:val="20"/>
              </w:rPr>
            </w:r>
            <w:r>
              <w:rPr>
                <w:color w:val="397CDD"/>
                <w:sz w:val="20"/>
              </w:rPr>
              <w:t>[INVENTARIO NÚMERO ESTADO Y PRUEBA]</w:t>
            </w:r>
          </w:p>
        </w:tc>
      </w:tr>
    </w:tbl>
    <w:p>
      <w:pPr>
        <w:keepLines w:val="0"/>
        <w:widowControl/>
        <w:spacing w:after="40"/>
      </w:pPr>
    </w:p>
    <w:p>
      <w:pPr>
        <w:keepLines w:val="0"/>
        <w:widowControl/>
      </w:pPr>
      <w:r>
        <w:t xml:space="preserve">En los puntos discutidos, la posición del arrendador es </w:t>
      </w:r>
      <w:r>
        <w:rPr>
          <w:color w:val="397CDD"/>
        </w:rPr>
        <w:t>[HECHOS Y DOCUMENTOS]</w:t>
      </w:r>
      <w:r>
        <w:t xml:space="preserve"> y la del arrendatario es </w:t>
      </w:r>
      <w:r>
        <w:rPr>
          <w:color w:val="397CDD"/>
        </w:rPr>
        <w:t>[HECHOS Y DOCUMENTOS]</w:t>
      </w:r>
      <w:r>
        <w:t xml:space="preserve">. Se dejan pendientes </w:t>
      </w:r>
      <w:r>
        <w:rPr>
          <w:color w:val="397CDD"/>
        </w:rPr>
        <w:t>[CAUSA, IMPUTACIÓN, VALORACIÓN O COMPROBACIÓN NECESARIA]</w:t>
      </w:r>
      <w:r>
        <w:t>. No se atribuye responsabilidad por el mero hecho de registrar una incidencia.</w:t>
      </w:r>
    </w:p>
    <w:p>
      <w:pPr>
        <w:pStyle w:val="Heading2"/>
        <w:keepNext/>
        <w:keepLines w:val="0"/>
        <w:widowControl/>
        <w:spacing w:before="160" w:after="80"/>
      </w:pPr>
      <w:r>
        <w:rPr>
          <w:rFonts w:ascii="Arial" w:hAnsi="Arial"/>
          <w:b/>
          <w:color w:val="000000"/>
          <w:sz w:val="21"/>
        </w:rPr>
        <w:t>Lecturas suministros y documentación</w:t>
      </w:r>
    </w:p>
    <w:p>
      <w:pPr>
        <w:keepLines w:val="0"/>
        <w:widowControl/>
      </w:pPr>
      <w:r>
        <w:t xml:space="preserve">Agua: </w:t>
      </w:r>
      <w:r>
        <w:rPr>
          <w:color w:val="397CDD"/>
        </w:rPr>
        <w:t>[LECTURA FECHA Y FOTO]</w:t>
      </w:r>
      <w:r>
        <w:t xml:space="preserve">. Electricidad: </w:t>
      </w:r>
      <w:r>
        <w:rPr>
          <w:color w:val="397CDD"/>
        </w:rPr>
        <w:t>[LECTURA FECHA Y FOTO]</w:t>
      </w:r>
      <w:r>
        <w:t xml:space="preserve">. Gas u otros: </w:t>
      </w:r>
      <w:r>
        <w:rPr>
          <w:color w:val="397CDD"/>
        </w:rPr>
        <w:t>[DATOS PERTINENTES O NO APLICA]</w:t>
      </w:r>
      <w:r>
        <w:t xml:space="preserve">. Se acuerda gestionar </w:t>
      </w:r>
      <w:r>
        <w:rPr>
          <w:color w:val="397CDD"/>
        </w:rPr>
        <w:t>[CAMBIO DE TITULAR, BAJA O ACTUACIÓN CONCRETA]</w:t>
      </w:r>
      <w:r>
        <w:t xml:space="preserve"> por </w:t>
      </w:r>
      <w:r>
        <w:rPr>
          <w:color w:val="397CDD"/>
        </w:rPr>
        <w:t>[PERSONA Y FECHA]</w:t>
      </w:r>
      <w:r>
        <w:t>, sin alterar las obligaciones frente a cada suministradora.</w:t>
      </w:r>
    </w:p>
    <w:p>
      <w:pPr>
        <w:keepLines w:val="0"/>
        <w:widowControl/>
      </w:pPr>
      <w:r>
        <w:t xml:space="preserve">Anexos incorporados: </w:t>
      </w:r>
      <w:r>
        <w:rPr>
          <w:color w:val="397CDD"/>
        </w:rPr>
        <w:t>[RELACIÓN NUMERADA DE INVENTARIO, FOTOGRAFÍAS, LECTURAS Y COMUNICACIONES]</w:t>
      </w:r>
      <w:r>
        <w:t xml:space="preserve">. Cada parte recibe una copia del documento y de sus anexos </w:t>
      </w:r>
      <w:r>
        <w:rPr>
          <w:color w:val="397CDD"/>
        </w:rPr>
        <w:t>[FORMA DE ENTREGA]</w:t>
      </w:r>
      <w:r>
        <w:t>.</w:t>
      </w:r>
    </w:p>
    <w:p>
      <w:pPr>
        <w:pStyle w:val="Heading2"/>
        <w:keepNext/>
        <w:keepLines w:val="0"/>
        <w:widowControl/>
        <w:spacing w:before="160" w:after="80"/>
      </w:pPr>
      <w:r>
        <w:rPr>
          <w:rFonts w:ascii="Arial" w:hAnsi="Arial"/>
          <w:b/>
          <w:color w:val="000000"/>
          <w:sz w:val="21"/>
        </w:rPr>
        <w:t>Fianza pagos y cantidades pendientes</w:t>
      </w:r>
    </w:p>
    <w:p>
      <w:pPr>
        <w:keepLines/>
        <w:widowControl/>
      </w:pPr>
      <w:r>
        <w:t xml:space="preserve">Fianza legal entregada: </w:t>
      </w:r>
      <w:r>
        <w:rPr>
          <w:color w:val="397CDD"/>
        </w:rPr>
        <w:t>[IMPORTE]</w:t>
      </w:r>
      <w:r>
        <w:t xml:space="preserve"> euros. Garantía adicional: </w:t>
      </w:r>
      <w:r>
        <w:rPr>
          <w:color w:val="397CDD"/>
        </w:rPr>
        <w:t>[IMPORTE Y TIPO O NO EXISTE]</w:t>
      </w:r>
      <w:r>
        <w:t xml:space="preserve">. Devoluciones ya realizadas: </w:t>
      </w:r>
      <w:r>
        <w:rPr>
          <w:color w:val="397CDD"/>
        </w:rPr>
        <w:t>[IMPORTE FECHA Y CONCEPTO O NINGUNA]</w:t>
      </w:r>
      <w:r>
        <w:t xml:space="preserve">. Pago realizado en este acto: </w:t>
      </w:r>
      <w:r>
        <w:rPr>
          <w:color w:val="397CDD"/>
        </w:rPr>
        <w:t>[IMPORTE CONCEPTO MEDIO Y JUSTIFICANTE O NINGUNO]</w:t>
      </w:r>
      <w:r>
        <w:t>. No se firma recibo de una cantidad no percibida.</w:t>
      </w:r>
    </w:p>
    <w:p>
      <w:pPr>
        <w:keepLines w:val="0"/>
        <w:widowControl/>
      </w:pPr>
      <w:r>
        <w:t xml:space="preserve">Conceptos que ambas partes aceptan liquidar ahora: </w:t>
      </w:r>
      <w:r>
        <w:rPr>
          <w:color w:val="397CDD"/>
        </w:rPr>
        <w:t>[DESGLOSE E IMPORTES O NINGUNO]</w:t>
      </w:r>
      <w:r>
        <w:t xml:space="preserve">. Cantidades o descuentos discutidos y razón de cada posición: </w:t>
      </w:r>
      <w:r>
        <w:rPr>
          <w:color w:val="397CDD"/>
        </w:rPr>
        <w:t>[DESGLOSE O NINGUNO]</w:t>
      </w:r>
      <w:r>
        <w:t xml:space="preserve">. Justificantes o liquidación que faltan: </w:t>
      </w:r>
      <w:r>
        <w:rPr>
          <w:color w:val="397CDD"/>
        </w:rPr>
        <w:t>[DOCUMENTOS Y FECHA PROPUESTA PARA APORTARLOS]</w:t>
      </w:r>
      <w:r>
        <w:t>.</w:t>
      </w:r>
    </w:p>
    <w:p>
      <w:pPr>
        <w:keepLines w:val="0"/>
        <w:widowControl/>
      </w:pPr>
      <w:r>
        <w:t>Se reservan las reclamaciones o defensas que puedan corresponder sobre los puntos pendientes. Este documento no contiene una renuncia general de derechos ni reconoce saldos no especificados. Cualquier acuerdo de compensación o liquidación definitiva deberá describirse expresamente y ser revisado antes de firmarse.</w:t>
      </w:r>
    </w:p>
    <w:p>
      <w:pPr>
        <w:pStyle w:val="Heading2"/>
        <w:keepNext/>
        <w:keepLines w:val="0"/>
        <w:widowControl/>
        <w:spacing w:before="160" w:after="80"/>
      </w:pPr>
      <w:r>
        <w:rPr>
          <w:rFonts w:ascii="Arial" w:hAnsi="Arial"/>
          <w:b/>
          <w:color w:val="000000"/>
          <w:sz w:val="21"/>
        </w:rPr>
        <w:t>Firmas y copias</w:t>
      </w:r>
    </w:p>
    <w:p>
      <w:pPr>
        <w:keepLines w:val="0"/>
        <w:widowControl/>
      </w:pPr>
      <w:r>
        <w:t xml:space="preserve">Arrendador o representante: </w:t>
      </w:r>
      <w:r>
        <w:rPr>
          <w:color w:val="397CDD"/>
        </w:rPr>
        <w:t>[NOMBRE Y FIRMA]</w:t>
      </w:r>
      <w:r>
        <w:t>.</w:t>
        <w:br/>
        <w:t xml:space="preserve">Arrendatario o representante: </w:t>
      </w:r>
      <w:r>
        <w:rPr>
          <w:color w:val="397CDD"/>
        </w:rPr>
        <w:t>[NOMBRE Y FIRMA]</w:t>
      </w:r>
      <w:r>
        <w:t>.</w:t>
        <w:br/>
        <w:t xml:space="preserve">Anexos firmados o identificados por ambas partes: </w:t>
      </w:r>
      <w:r>
        <w:rPr>
          <w:color w:val="397CDD"/>
        </w:rPr>
        <w:t>[NÚMEROS]</w:t>
      </w:r>
      <w:r>
        <w:t>.</w:t>
      </w:r>
    </w:p>
    <w:p>
      <w:pPr>
        <w:keepLines w:val="0"/>
        <w:widowControl/>
      </w:pPr>
      <w:r>
        <w:t xml:space="preserve">Observaciones sobre falta de firma o discrepancia: </w:t>
      </w:r>
      <w:r>
        <w:rPr>
          <w:color w:val="397CDD"/>
        </w:rPr>
        <w:t>[HECHO REAL Y PRUEBA DISPONIBLE; ELIMINAR SI NO PROCEDE]</w:t>
      </w:r>
      <w:r>
        <w:t>. No suplas ni reproduzcas la firma de otra persona.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000000"/>
        <w:sz w:val="18"/>
      </w:rPr>
      <w:t>PÉREZ &amp; BURGOS</w:t>
    </w:r>
    <w:r>
      <w:rPr>
        <w:rFonts w:ascii="Arial" w:hAnsi="Arial"/>
        <w:b/>
        <w:color w:val="000000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04-18911" TargetMode="External"/><Relationship Id="rId12" Type="http://schemas.openxmlformats.org/officeDocument/2006/relationships/hyperlink" Target="https://www.boe.es/diario_boe/txt.php?id=BOE-A-2025-15424" TargetMode="External"/><Relationship Id="rId13" Type="http://schemas.openxmlformats.org/officeDocument/2006/relationships/hyperlink" Target="https://www.boe.es/buscar/act.php?id=BOE-A-2002-22188" TargetMode="External"/><Relationship Id="rId14" Type="http://schemas.openxmlformats.org/officeDocument/2006/relationships/hyperlink" Target="https://perezburgosabogados.es/modelo-cronologia-medica-laboral-y-economica-del-perjudicado/" TargetMode="External"/><Relationship Id="rId15" Type="http://schemas.openxmlformats.org/officeDocument/2006/relationships/hyperlink" Target="https://perezburgosabogados.es/documentos-reclamar-accidente-trafico/" TargetMode="External"/><Relationship Id="rId16" Type="http://schemas.openxmlformats.org/officeDocument/2006/relationships/hyperlink" Target="https://perezburgosabogados.es/secuelas-puntos-baremo-accidente-trafico/" TargetMode="External"/><Relationship Id="rId17" Type="http://schemas.openxmlformats.org/officeDocument/2006/relationships/hyperlink" Target="https://perezburgosabogados.es/gastos-futuros-accidente-trafico/" TargetMode="External"/><Relationship Id="rId18" Type="http://schemas.openxmlformats.org/officeDocument/2006/relationships/hyperlink" Target="https://perezburgosabogados.es/servicios/reclamar-accidente-trafico/" TargetMode="External"/><Relationship Id="rId19" Type="http://schemas.openxmlformats.org/officeDocument/2006/relationships/hyperlink" Target="https://www.boe.es/buscar/act.php?id=BOE-A-1994-26003" TargetMode="External"/><Relationship Id="rId20" Type="http://schemas.openxmlformats.org/officeDocument/2006/relationships/hyperlink" Target="https://www.boe.es/buscar/act.php?id=BOE-A-1889-47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Entrega de llaves e inventario al terminar el alquiler</dc:title>
  <dc:subject>Modelo jurídico editable de vivienda</dc:subject>
  <dc:creator>Pérez &amp; Burgos Abogados</dc:creator>
  <cp:keywords/>
  <dc:description>Modelo orientativo con instrucciones separables y campos editables</dc:description>
  <cp:lastModifiedBy>Pérez &amp; Burgos Abogados</cp:lastModifiedBy>
  <cp:revision>1</cp:revision>
  <dcterms:created xsi:type="dcterms:W3CDTF">2026-10-28T10:09:13Z</dcterms:created>
  <dcterms:modified xsi:type="dcterms:W3CDTF">2026-10-28T10:09:13Z</dcterms:modified>
  <cp:category/>
  <dc:language>es-ES</dc:language>
</cp:coreProperties>
</file>