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keepNext/>
        <w:keepLines/>
        <w:jc w:val="left"/>
        <w:spacing w:before="0" w:after="100" w:line="270" w:lineRule="auto"/>
      </w:pPr>
      <w:r>
        <w:rPr>
          <w:rFonts w:ascii="Liberation Sans" w:hAnsi="Liberation Sans" w:eastAsia="Liberation Sans"/>
          <w:sz w:val="42"/>
          <w:color w:val="000000"/>
          <w:b/>
        </w:rPr>
        <w:t xml:space="preserve">Dossier privado en favor de familiares</w:t>
      </w:r>
    </w:p>
    <w:p>
      <w:pPr>
        <w:pStyle w:val="Normal"/>
        <w:widowControl/>
        <w:jc w:val="left"/>
        <w:spacing w:before="0" w:after="70" w:line="270" w:lineRule="auto"/>
      </w:pPr>
      <w:r>
        <w:rPr>
          <w:rFonts w:ascii="Liberation Sans" w:hAnsi="Liberation Sans" w:eastAsia="Liberation Sans"/>
          <w:sz w:val="21"/>
          <w:color w:val="000000"/>
        </w:rPr>
        <w:t xml:space="preserve">Persona solicitante o referencia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[DATO]</w:t>
      </w:r>
      <w:r>
        <w:rPr>
          <w:rFonts w:ascii="Liberation Sans" w:hAnsi="Liberation Sans" w:eastAsia="Liberation Sans"/>
          <w:sz w:val="21"/>
          <w:color w:val="000000"/>
        </w:rPr>
        <w:t xml:space="preserve">. Fecha de nacimiento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[FECHA]</w:t>
      </w:r>
      <w:r>
        <w:rPr>
          <w:rFonts w:ascii="Liberation Sans" w:hAnsi="Liberation Sans" w:eastAsia="Liberation Sans"/>
          <w:sz w:val="21"/>
          <w:color w:val="000000"/>
        </w:rPr>
        <w:t xml:space="preserve">. Edad y estado civil al fallecimiento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[DATOS]</w:t>
      </w:r>
      <w:r>
        <w:rPr>
          <w:rFonts w:ascii="Liberation Sans" w:hAnsi="Liberation Sans" w:eastAsia="Liberation Sans"/>
          <w:sz w:val="21"/>
          <w:color w:val="000000"/>
        </w:rPr>
        <w:t xml:space="preserve">. Parentesco con el causante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[RELACIÓN Y DOCUMENTO]</w:t>
      </w:r>
      <w:r>
        <w:rPr>
          <w:rFonts w:ascii="Liberation Sans" w:hAnsi="Liberation Sans" w:eastAsia="Liberation Sans"/>
          <w:sz w:val="21"/>
          <w:color w:val="000000"/>
        </w:rPr>
        <w:t xml:space="preserve">.</w:t>
      </w:r>
    </w:p>
    <w:p>
      <w:pPr>
        <w:pStyle w:val="Normal"/>
        <w:widowControl/>
        <w:jc w:val="left"/>
        <w:spacing w:before="0" w:after="70" w:line="270" w:lineRule="auto"/>
      </w:pPr>
      <w:r>
        <w:rPr>
          <w:rFonts w:ascii="Liberation Sans" w:hAnsi="Liberation Sans" w:eastAsia="Liberation Sans"/>
          <w:sz w:val="21"/>
          <w:color w:val="000000"/>
        </w:rPr>
        <w:t xml:space="preserve">Persona fallecida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[REFERENCIA]</w:t>
      </w:r>
      <w:r>
        <w:rPr>
          <w:rFonts w:ascii="Liberation Sans" w:hAnsi="Liberation Sans" w:eastAsia="Liberation Sans"/>
          <w:sz w:val="21"/>
          <w:color w:val="000000"/>
        </w:rPr>
        <w:t xml:space="preserve">. Fecha de fallecimiento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[FECHA Y DOCUMENTO]</w:t>
      </w:r>
      <w:r>
        <w:rPr>
          <w:rFonts w:ascii="Liberation Sans" w:hAnsi="Liberation Sans" w:eastAsia="Liberation Sans"/>
          <w:sz w:val="21"/>
          <w:color w:val="000000"/>
        </w:rPr>
        <w:t xml:space="preserve">. Situación del causante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[TRABAJADOR; PENSIONISTA DE JUBILACIÓN O INCAPACIDAD; OTRA O PENDIENTE]</w:t>
      </w:r>
      <w:r>
        <w:rPr>
          <w:rFonts w:ascii="Liberation Sans" w:hAnsi="Liberation Sans" w:eastAsia="Liberation Sans"/>
          <w:sz w:val="21"/>
          <w:color w:val="000000"/>
        </w:rPr>
        <w:t xml:space="preserve"> acreditada por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[DOCUMENTO]</w:t>
      </w:r>
      <w:r>
        <w:rPr>
          <w:rFonts w:ascii="Liberation Sans" w:hAnsi="Liberation Sans" w:eastAsia="Liberation Sans"/>
          <w:sz w:val="21"/>
          <w:color w:val="000000"/>
        </w:rPr>
        <w:t xml:space="preserve">.</w:t>
      </w:r>
    </w:p>
    <w:p>
      <w:pPr>
        <w:pStyle w:val="Normal"/>
        <w:widowControl/>
        <w:jc w:val="left"/>
        <w:spacing w:before="0" w:after="70" w:line="270" w:lineRule="auto"/>
      </w:pPr>
      <w:r>
        <w:rPr>
          <w:rFonts w:ascii="Liberation Sans" w:hAnsi="Liberation Sans" w:eastAsia="Liberation Sans"/>
          <w:sz w:val="21"/>
          <w:color w:val="000000"/>
        </w:rPr>
        <w:t xml:space="preserve">Vía que se está examinando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[PENSIÓN; SUBSIDIO TEMPORAL; O PENDIENTE DE IDENTIFICAR]</w:t>
      </w:r>
      <w:r>
        <w:rPr>
          <w:rFonts w:ascii="Liberation Sans" w:hAnsi="Liberation Sans" w:eastAsia="Liberation Sans"/>
          <w:sz w:val="21"/>
          <w:color w:val="000000"/>
        </w:rPr>
        <w:t xml:space="preserve">. Categoría y requisito por comprobar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[EXTREMO]</w:t>
      </w:r>
      <w:r>
        <w:rPr>
          <w:rFonts w:ascii="Liberation Sans" w:hAnsi="Liberation Sans" w:eastAsia="Liberation Sans"/>
          <w:sz w:val="21"/>
          <w:color w:val="000000"/>
        </w:rPr>
        <w:t xml:space="preserve">. Órgano competente o consulta pendiente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[INSS; ISM; MUTUA O PENDIENTE]</w:t>
      </w:r>
      <w:r>
        <w:rPr>
          <w:rFonts w:ascii="Liberation Sans" w:hAnsi="Liberation Sans" w:eastAsia="Liberation Sans"/>
          <w:sz w:val="21"/>
          <w:color w:val="000000"/>
        </w:rPr>
        <w:t xml:space="preserve">.</w:t>
      </w:r>
    </w:p>
    <w:p>
      <w:pPr>
        <w:pStyle w:val="Heading2"/>
        <w:widowControl/>
        <w:keepNext/>
        <w:keepLines/>
        <w:jc w:val="left"/>
        <w:spacing w:before="120" w:after="100" w:line="270" w:lineRule="auto"/>
      </w:pPr>
      <w:r>
        <w:rPr>
          <w:rFonts w:ascii="Liberation Sans" w:hAnsi="Liberation Sans" w:eastAsia="Liberation Sans"/>
          <w:sz w:val="25"/>
          <w:color w:val="000000"/>
          <w:b/>
        </w:rPr>
        <w:t xml:space="preserve">Convivencia dependencia económica y cuidados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3800"/>
        <w:gridCol w:w="5700"/>
      </w:tblGrid>
      <w:tr>
        <w:trPr>
          <w:cantSplit/>
          <w:tblHeader/>
        </w:trPr>
        <w:tc>
          <w:tcPr>
            <w:tcW w:w="3800" w:type="dxa"/>
            <w:vAlign w:val="center"/>
            <w:shd w:fill="1A354D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Hecho y periodo</w:t>
            </w:r>
          </w:p>
        </w:tc>
        <w:tc>
          <w:tcPr>
            <w:tcW w:w="5700" w:type="dxa"/>
            <w:vAlign w:val="center"/>
            <w:shd w:fill="1A354D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Fuente y qué acredita</w:t>
            </w:r>
          </w:p>
        </w:tc>
      </w:tr>
      <w:tr>
        <w:trPr>
          <w:cantSplit/>
        </w:trPr>
        <w:tc>
          <w:tcPr>
            <w:tcW w:w="3800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000000"/>
              </w:rPr>
              <w:t xml:space="preserve">Convivencia: </w:t>
            </w: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[DESDE; HASTA; DOMICILIO O DOMICILIOS; INTERRUPCIONES]</w:t>
            </w:r>
          </w:p>
        </w:tc>
        <w:tc>
          <w:tcPr>
            <w:tcW w:w="5700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[PADRÓN HISTÓRICO; VIVIENDA; OTROS DOC; QUÉ EXTREMO PRUEBAN]</w:t>
            </w:r>
          </w:p>
        </w:tc>
      </w:tr>
      <w:tr>
        <w:trPr>
          <w:cantSplit/>
        </w:trPr>
        <w:tc>
          <w:tcPr>
            <w:tcW w:w="3800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000000"/>
              </w:rPr>
              <w:t xml:space="preserve">Dependencia económica: </w:t>
            </w: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[GASTOS; QUIÉN LOS ASUMÍA; PERIODO]</w:t>
            </w:r>
          </w:p>
        </w:tc>
        <w:tc>
          <w:tcPr>
            <w:tcW w:w="5700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[INGRESOS; TRANSFERENCIAS; RECIBOS U OTRAS FUENTES]</w:t>
            </w:r>
          </w:p>
        </w:tc>
      </w:tr>
      <w:tr>
        <w:trPr>
          <w:cantSplit/>
        </w:trPr>
        <w:tc>
          <w:tcPr>
            <w:tcW w:w="3800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000000"/>
              </w:rPr>
              <w:t xml:space="preserve">Cuidados cuando sean requisito: </w:t>
            </w: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[TAREAS; FRECUENCIA; PERIODO; QUIÉN LAS REALIZÓ]</w:t>
            </w:r>
          </w:p>
        </w:tc>
        <w:tc>
          <w:tcPr>
            <w:tcW w:w="5700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[OBSERVACIÓN PROPIA; RELATO O DOCUMENTO IDENTIFICADO]</w:t>
            </w:r>
          </w:p>
        </w:tc>
      </w:tr>
    </w:tbl>
    <w:p>
      <w:pPr>
        <w:pStyle w:val="Normal"/>
        <w:widowControl/>
        <w:jc w:val="left"/>
        <w:spacing w:before="0" w:after="70" w:line="270" w:lineRule="auto"/>
      </w:pPr>
      <w:r>
        <w:rPr>
          <w:rFonts w:ascii="Liberation Sans" w:hAnsi="Liberation Sans" w:eastAsia="Liberation Sans"/>
          <w:sz w:val="21"/>
          <w:color w:val="000000"/>
        </w:rPr>
        <w:t xml:space="preserve">Extremos no acreditados o discrepancias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[DATO; FUENTE QUE FALTA; O NINGUNO]</w:t>
      </w:r>
      <w:r>
        <w:rPr>
          <w:rFonts w:ascii="Liberation Sans" w:hAnsi="Liberation Sans" w:eastAsia="Liberation Sans"/>
          <w:sz w:val="21"/>
          <w:color w:val="000000"/>
        </w:rPr>
        <w:t xml:space="preserve">.</w:t>
      </w:r>
    </w:p>
    <w:p>
      <w:pPr>
        <w:pStyle w:val="Title"/>
        <w:widowControl/>
        <w:keepNext/>
        <w:keepLines/>
        <w:pageBreakBefore/>
        <w:jc w:val="left"/>
        <w:spacing w:before="0" w:after="100" w:line="270" w:lineRule="auto"/>
      </w:pPr>
      <w:r>
        <w:rPr>
          <w:rFonts w:ascii="Liberation Sans" w:hAnsi="Liberation Sans" w:eastAsia="Liberation Sans"/>
          <w:sz w:val="42"/>
          <w:color w:val="000000"/>
          <w:b/>
        </w:rPr>
        <w:t xml:space="preserve">Recursos alimentos y documentos</w:t>
      </w:r>
    </w:p>
    <w:p>
      <w:pPr>
        <w:pStyle w:val="Heading2"/>
        <w:widowControl/>
        <w:keepNext/>
        <w:keepLines/>
        <w:jc w:val="left"/>
        <w:spacing w:before="120" w:after="100" w:line="270" w:lineRule="auto"/>
      </w:pPr>
      <w:r>
        <w:rPr>
          <w:rFonts w:ascii="Liberation Sans" w:hAnsi="Liberation Sans" w:eastAsia="Liberation Sans"/>
          <w:sz w:val="25"/>
          <w:color w:val="000000"/>
          <w:b/>
        </w:rPr>
        <w:t xml:space="preserve">Recursos de la persona solicitante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3800"/>
        <w:gridCol w:w="5700"/>
      </w:tblGrid>
      <w:tr>
        <w:trPr>
          <w:cantSplit/>
          <w:tblHeader/>
        </w:trPr>
        <w:tc>
          <w:tcPr>
            <w:tcW w:w="3800" w:type="dxa"/>
            <w:vAlign w:val="center"/>
            <w:shd w:fill="1A354D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Concepto y titular</w:t>
            </w:r>
          </w:p>
        </w:tc>
        <w:tc>
          <w:tcPr>
            <w:tcW w:w="5700" w:type="dxa"/>
            <w:vAlign w:val="center"/>
            <w:shd w:fill="1A354D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Periodo importe y soporte</w:t>
            </w:r>
          </w:p>
        </w:tc>
      </w:tr>
      <w:tr>
        <w:trPr>
          <w:cantSplit/>
        </w:trPr>
        <w:tc>
          <w:tcPr>
            <w:tcW w:w="3800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[TRABAJO; ACTIVIDAD; PENSIÓN; RENDIMIENTO U OTRO]</w:t>
            </w:r>
          </w:p>
        </w:tc>
        <w:tc>
          <w:tcPr>
            <w:tcW w:w="5700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[PERIODO; IMPORTE Y MONEDA; ACREDITADO, ESTIMADO O DESCONOCIDO; DOC]</w:t>
            </w:r>
          </w:p>
        </w:tc>
      </w:tr>
      <w:tr>
        <w:trPr>
          <w:cantSplit/>
        </w:trPr>
        <w:tc>
          <w:tcPr>
            <w:tcW w:w="3800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[OTRO CONCEPTO O NO APLICA]</w:t>
            </w:r>
          </w:p>
        </w:tc>
        <w:tc>
          <w:tcPr>
            <w:tcW w:w="5700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[PERIODO; IMPORTE; CLASE DEL DATO Y FUENTE]</w:t>
            </w:r>
          </w:p>
        </w:tc>
      </w:tr>
    </w:tbl>
    <w:p>
      <w:pPr>
        <w:pStyle w:val="Normal"/>
        <w:widowControl/>
        <w:jc w:val="left"/>
        <w:spacing w:before="0" w:after="70" w:line="270" w:lineRule="auto"/>
      </w:pPr>
      <w:r>
        <w:rPr>
          <w:rFonts w:ascii="Liberation Sans" w:hAnsi="Liberation Sans" w:eastAsia="Liberation Sans"/>
          <w:sz w:val="21"/>
          <w:color w:val="000000"/>
        </w:rPr>
        <w:t xml:space="preserve">Otra pensión pública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[TIPO; SOLICITADA O RECONOCIDA; FECHA Y DOCUMENTO; O NINGUNA CONOCIDA]</w:t>
      </w:r>
      <w:r>
        <w:rPr>
          <w:rFonts w:ascii="Liberation Sans" w:hAnsi="Liberation Sans" w:eastAsia="Liberation Sans"/>
          <w:sz w:val="21"/>
          <w:color w:val="000000"/>
        </w:rPr>
        <w:t xml:space="preserve">. Recursos del causante que explican el mantenimiento de la persona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[DETALLE Y SOPORTE]</w:t>
      </w:r>
      <w:r>
        <w:rPr>
          <w:rFonts w:ascii="Liberation Sans" w:hAnsi="Liberation Sans" w:eastAsia="Liberation Sans"/>
          <w:sz w:val="21"/>
          <w:color w:val="000000"/>
        </w:rPr>
        <w:t xml:space="preserve">.</w:t>
      </w:r>
    </w:p>
    <w:p>
      <w:pPr>
        <w:pStyle w:val="Heading2"/>
        <w:widowControl/>
        <w:keepNext/>
        <w:keepLines/>
        <w:jc w:val="left"/>
        <w:spacing w:before="120" w:after="100" w:line="270" w:lineRule="auto"/>
      </w:pPr>
      <w:r>
        <w:rPr>
          <w:rFonts w:ascii="Liberation Sans" w:hAnsi="Liberation Sans" w:eastAsia="Liberation Sans"/>
          <w:sz w:val="25"/>
          <w:color w:val="000000"/>
          <w:b/>
        </w:rPr>
        <w:t xml:space="preserve">Familiares y alimentos</w:t>
      </w:r>
    </w:p>
    <w:p>
      <w:pPr>
        <w:pStyle w:val="Normal"/>
        <w:widowControl/>
        <w:jc w:val="left"/>
        <w:spacing w:before="0" w:after="70" w:line="270" w:lineRule="auto"/>
      </w:pPr>
      <w:r>
        <w:rPr>
          <w:rFonts w:ascii="Liberation Sans" w:hAnsi="Liberation Sans" w:eastAsia="Liberation Sans"/>
          <w:sz w:val="21"/>
          <w:color w:val="000000"/>
        </w:rPr>
        <w:t xml:space="preserve">Personas cuya relación pueda ser pertinente a efectos de alimentos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[PARENTESCO O RELACIÓN, SIN DATOS AJENOS INNECESARIOS]</w:t>
      </w:r>
      <w:r>
        <w:rPr>
          <w:rFonts w:ascii="Liberation Sans" w:hAnsi="Liberation Sans" w:eastAsia="Liberation Sans"/>
          <w:sz w:val="21"/>
          <w:color w:val="000000"/>
        </w:rPr>
        <w:t xml:space="preserve">. Posibilidad de prestar alimentos conocida o pendiente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[HECHO Y FUENTE; O DATO POR COMPROBAR]</w:t>
      </w:r>
      <w:r>
        <w:rPr>
          <w:rFonts w:ascii="Liberation Sans" w:hAnsi="Liberation Sans" w:eastAsia="Liberation Sans"/>
          <w:sz w:val="21"/>
          <w:color w:val="000000"/>
        </w:rPr>
        <w:t xml:space="preserve">. Cuestión que requiere valoración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[EXTREMO]</w:t>
      </w:r>
      <w:r>
        <w:rPr>
          <w:rFonts w:ascii="Liberation Sans" w:hAnsi="Liberation Sans" w:eastAsia="Liberation Sans"/>
          <w:sz w:val="21"/>
          <w:color w:val="000000"/>
        </w:rPr>
        <w:t xml:space="preserve">.</w:t>
      </w:r>
    </w:p>
    <w:p>
      <w:pPr>
        <w:pStyle w:val="Heading2"/>
        <w:widowControl/>
        <w:keepNext/>
        <w:keepLines/>
        <w:jc w:val="left"/>
        <w:spacing w:before="120" w:after="100" w:line="270" w:lineRule="auto"/>
      </w:pPr>
      <w:r>
        <w:rPr>
          <w:rFonts w:ascii="Liberation Sans" w:hAnsi="Liberation Sans" w:eastAsia="Liberation Sans"/>
          <w:sz w:val="25"/>
          <w:color w:val="000000"/>
          <w:b/>
        </w:rPr>
        <w:t xml:space="preserve">Índice de documentos y seguimiento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1696"/>
        <w:gridCol w:w="5089"/>
        <w:gridCol w:w="2715"/>
      </w:tblGrid>
      <w:tr>
        <w:trPr>
          <w:cantSplit/>
          <w:tblHeader/>
        </w:trPr>
        <w:tc>
          <w:tcPr>
            <w:tcW w:w="1696" w:type="dxa"/>
            <w:vAlign w:val="center"/>
            <w:shd w:fill="1A354D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ID y fecha</w:t>
            </w:r>
          </w:p>
        </w:tc>
        <w:tc>
          <w:tcPr>
            <w:tcW w:w="5089" w:type="dxa"/>
            <w:vAlign w:val="center"/>
            <w:shd w:fill="1A354D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Documento y finalidad</w:t>
            </w:r>
          </w:p>
        </w:tc>
        <w:tc>
          <w:tcPr>
            <w:tcW w:w="2715" w:type="dxa"/>
            <w:vAlign w:val="center"/>
            <w:shd w:fill="1A354D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Estado</w:t>
            </w:r>
          </w:p>
        </w:tc>
      </w:tr>
      <w:tr>
        <w:trPr>
          <w:cantSplit/>
        </w:trPr>
        <w:tc>
          <w:tcPr>
            <w:tcW w:w="1696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[D01; FECHA]</w:t>
            </w:r>
          </w:p>
        </w:tc>
        <w:tc>
          <w:tcPr>
            <w:tcW w:w="5089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[EMISOR; DOCUMENTO; QUÉ HECHO ACREDITA]</w:t>
            </w:r>
          </w:p>
        </w:tc>
        <w:tc>
          <w:tcPr>
            <w:tcW w:w="2715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[DISPONIBLE; SOLICITADO O PENDIENTE]</w:t>
            </w:r>
          </w:p>
        </w:tc>
      </w:tr>
      <w:tr>
        <w:trPr>
          <w:cantSplit/>
        </w:trPr>
        <w:tc>
          <w:tcPr>
            <w:tcW w:w="1696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[D02; FECHA]</w:t>
            </w:r>
          </w:p>
        </w:tc>
        <w:tc>
          <w:tcPr>
            <w:tcW w:w="5089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[EMISOR; DOCUMENTO; QUÉ HECHO ACREDITA]</w:t>
            </w:r>
          </w:p>
        </w:tc>
        <w:tc>
          <w:tcPr>
            <w:tcW w:w="2715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[ESTADO]</w:t>
            </w:r>
          </w:p>
        </w:tc>
      </w:tr>
      <w:tr>
        <w:trPr>
          <w:cantSplit/>
        </w:trPr>
        <w:tc>
          <w:tcPr>
            <w:tcW w:w="1696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[D03; FECHA]</w:t>
            </w:r>
          </w:p>
        </w:tc>
        <w:tc>
          <w:tcPr>
            <w:tcW w:w="5089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[EMISOR; DOCUMENTO; QUÉ HECHO ACREDITA]</w:t>
            </w:r>
          </w:p>
        </w:tc>
        <w:tc>
          <w:tcPr>
            <w:tcW w:w="2715" w:type="dxa"/>
            <w:vAlign w:val="center"/>
            <w:shd w:fill="FFFFFF"/>
          </w:tcPr>
          <w:p>
            <w:pPr>
              <w:pStyle w:val="Normal"/>
              <w:widowControl/>
              <w:jc w:val="left"/>
              <w:spacing w:before="0" w:after="70" w:line="270" w:lineRule="auto"/>
            </w:pPr>
            <w:r>
              <w:rPr>
                <w:rFonts w:ascii="Liberation Sans" w:hAnsi="Liberation Sans" w:eastAsia="Liberation Sans"/>
                <w:sz w:val="21"/>
                <w:color w:val="2F80ED"/>
                <w:b/>
                <w:shd w:val="clear" w:fill="EAF1FB"/>
              </w:rPr>
              <w:t xml:space="preserve">[ESTADO]</w:t>
            </w:r>
          </w:p>
        </w:tc>
      </w:tr>
    </w:tbl>
    <w:p>
      <w:pPr>
        <w:pStyle w:val="Normal"/>
        <w:widowControl/>
        <w:jc w:val="left"/>
        <w:spacing w:before="0" w:after="70" w:line="270" w:lineRule="auto"/>
      </w:pPr>
      <w:r>
        <w:rPr>
          <w:rFonts w:ascii="Liberation Sans" w:hAnsi="Liberation Sans" w:eastAsia="Liberation Sans"/>
          <w:sz w:val="21"/>
          <w:color w:val="000000"/>
        </w:rPr>
        <w:t xml:space="preserve">Solicitud o consulta presentada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[TIPO; FECHA; ÓRGANO Y REGISTRO; O NO PRESENTADA]</w:t>
      </w:r>
      <w:r>
        <w:rPr>
          <w:rFonts w:ascii="Liberation Sans" w:hAnsi="Liberation Sans" w:eastAsia="Liberation Sans"/>
          <w:sz w:val="21"/>
          <w:color w:val="000000"/>
        </w:rPr>
        <w:t xml:space="preserve">. Resolución y notificación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[FECHAS Y DOCUMENTO; O PENDIENTE]</w:t>
      </w:r>
      <w:r>
        <w:rPr>
          <w:rFonts w:ascii="Liberation Sans" w:hAnsi="Liberation Sans" w:eastAsia="Liberation Sans"/>
          <w:sz w:val="21"/>
          <w:color w:val="000000"/>
        </w:rPr>
        <w:t xml:space="preserve">. Próximo paso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[ACTUACIÓN Y SOPORTE NECESARIO]</w:t>
      </w:r>
      <w:r>
        <w:rPr>
          <w:rFonts w:ascii="Liberation Sans" w:hAnsi="Liberation Sans" w:eastAsia="Liberation Sans"/>
          <w:sz w:val="21"/>
          <w:color w:val="000000"/>
        </w:rPr>
        <w:t xml:space="preserve">. Fecha de esta hoja </w:t>
      </w:r>
      <w:r>
        <w:rPr>
          <w:rFonts w:ascii="Liberation Sans" w:hAnsi="Liberation Sans" w:eastAsia="Liberation Sans"/>
          <w:sz w:val="21"/>
          <w:color w:val="2F80ED"/>
          <w:b/>
          <w:shd w:val="clear" w:fill="EAF1FB"/>
        </w:rPr>
        <w:t xml:space="preserve">[FECHA]</w:t>
      </w:r>
      <w:r>
        <w:rPr>
          <w:rFonts w:ascii="Liberation Sans" w:hAnsi="Liberation Sans" w:eastAsia="Liberation Sans"/>
          <w:sz w:val="21"/>
          <w:color w:val="000000"/>
        </w:rPr>
        <w:t xml:space="preserve">.</w:t>
      </w:r>
    </w:p>
    <w:p>
      <w:pPr>
        <w:pStyle w:val="Title"/>
        <w:widowControl/>
        <w:keepNext/>
        <w:keepLines/>
        <w:pageBreakBefore/>
        <w:jc w:val="left"/>
        <w:spacing w:before="0" w:after="100" w:line="270" w:lineRule="auto"/>
      </w:pPr>
      <w:r>
        <w:rPr>
          <w:rFonts w:ascii="Liberation Sans" w:hAnsi="Liberation Sans" w:eastAsia="Liberation Sans"/>
          <w:sz w:val="42"/>
          <w:color w:val="000000"/>
          <w:b/>
        </w:rPr>
        <w:t xml:space="preserve">Guía para preparar el expediente</w:t>
      </w:r>
    </w:p>
    <w:p>
      <w:pPr>
        <w:pStyle w:val="Normal"/>
        <w:widowControl/>
        <w:jc w:val="both"/>
        <w:spacing w:before="0" w:after="70" w:line="270" w:lineRule="auto"/>
      </w:pPr>
      <w:r>
        <w:rPr>
          <w:rFonts w:ascii="Liberation Sans" w:hAnsi="Liberation Sans" w:eastAsia="Liberation Sans"/>
          <w:sz w:val="21"/>
          <w:color w:val="000000"/>
        </w:rPr>
        <w:t xml:space="preserve">Este dossier es una hoja privada para ordenar el caso. La solicitud de prestaciones de supervivencia se presenta en el formulario y por el cauce oficial. Aporta sólo las hojas y documentos pertinentes. Ser heredero o haber prestado cuidados no acredita por sí solo una pensión; primero identifica la categoría, la situación del causante y los requisitos de la vía que se solicita.</w:t>
      </w:r>
    </w:p>
    <w:p>
      <w:pPr>
        <w:pStyle w:val="Heading2"/>
        <w:widowControl/>
        <w:keepNext/>
        <w:keepLines/>
        <w:jc w:val="left"/>
        <w:spacing w:before="120" w:after="100" w:line="270" w:lineRule="auto"/>
      </w:pPr>
      <w:r>
        <w:rPr>
          <w:rFonts w:ascii="Liberation Sans" w:hAnsi="Liberation Sans" w:eastAsia="Liberation Sans"/>
          <w:sz w:val="25"/>
          <w:color w:val="000000"/>
          <w:b/>
        </w:rPr>
        <w:t xml:space="preserve">Pensión y subsidio son vías distintas</w:t>
      </w:r>
    </w:p>
    <w:p>
      <w:pPr>
        <w:pStyle w:val="Normal"/>
        <w:widowControl/>
        <w:jc w:val="both"/>
        <w:spacing w:before="0" w:after="70" w:line="270" w:lineRule="auto"/>
      </w:pPr>
      <w:r>
        <w:rPr>
          <w:rFonts w:ascii="Liberation Sans" w:hAnsi="Liberation Sans" w:eastAsia="Liberation Sans"/>
          <w:sz w:val="21"/>
          <w:color w:val="000000"/>
        </w:rPr>
        <w:t xml:space="preserve">El artículo 226.2 LGSS contempla hijos o hermanos de pensionistas contributivos de jubilación o incapacidad permanente, mayores de cuarenta y cinco años y con las restantes condiciones legales de estado civil, convivencia a cargo, cuidados y medios. Los cuarenta y cinco no son una edad general para todos los familiares: existen otras categorías con sus requisitos. El subsidio temporal tiene beneficiarios, edades y duración propios.</w:t>
      </w:r>
    </w:p>
    <w:p>
      <w:pPr>
        <w:pStyle w:val="Normal"/>
        <w:widowControl/>
        <w:jc w:val="both"/>
        <w:spacing w:before="0" w:after="70" w:line="270" w:lineRule="auto"/>
      </w:pPr>
      <w:r>
        <w:rPr>
          <w:rFonts w:ascii="Liberation Sans" w:hAnsi="Liberation Sans" w:eastAsia="Liberation Sans"/>
          <w:sz w:val="21"/>
          <w:color w:val="000000"/>
        </w:rPr>
        <w:t xml:space="preserve">Consulta las fichas actuales del INSS y comprueba la norma aplicable al hecho causante. La información del subsidio distingue hijos mayores de veinticinco y hermanos mayores de veintidós, con los demás requisitos; no uses una redacción histórica aislada para decidir una edad o una concesión. Identificar una vía como pendiente permite pedir esa aclaración sin afirmar que ya se cumple.</w:t>
      </w:r>
    </w:p>
    <w:p>
      <w:pPr>
        <w:pStyle w:val="Heading2"/>
        <w:widowControl/>
        <w:keepNext/>
        <w:keepLines/>
        <w:jc w:val="left"/>
        <w:spacing w:before="120" w:after="100" w:line="270" w:lineRule="auto"/>
      </w:pPr>
      <w:r>
        <w:rPr>
          <w:rFonts w:ascii="Liberation Sans" w:hAnsi="Liberation Sans" w:eastAsia="Liberation Sans"/>
          <w:sz w:val="25"/>
          <w:color w:val="000000"/>
          <w:b/>
        </w:rPr>
        <w:t xml:space="preserve">Concreta qué demuestra cada documento</w:t>
      </w:r>
    </w:p>
    <w:p>
      <w:pPr>
        <w:pStyle w:val="Normal"/>
        <w:widowControl/>
        <w:jc w:val="both"/>
        <w:spacing w:before="0" w:after="70" w:line="270" w:lineRule="auto"/>
      </w:pPr>
      <w:r>
        <w:rPr>
          <w:rFonts w:ascii="Liberation Sans" w:hAnsi="Liberation Sans" w:eastAsia="Liberation Sans"/>
          <w:sz w:val="21"/>
          <w:color w:val="000000"/>
        </w:rPr>
        <w:t xml:space="preserve">Distingue convivir, estar a expensas y cuidar. El padrón histórico aporta datos de domicilio; no demuestra por sí solo quién pagaba los gastos ni quién atendía a la persona. Relaciona ingresos y gastos con su periodo y soporte. Para cuidados, cuando sean requisito, describe tareas y frecuencia con fuentes mínimas pertinentes, separando observación, relato e informe. Puedes ampliar filas sin transformar una estimación en dato acreditado.</w:t>
      </w:r>
    </w:p>
    <w:p>
      <w:pPr>
        <w:pStyle w:val="Normal"/>
        <w:widowControl/>
        <w:jc w:val="both"/>
        <w:spacing w:before="0" w:after="70" w:line="270" w:lineRule="auto"/>
      </w:pPr>
      <w:r>
        <w:rPr>
          <w:rFonts w:ascii="Liberation Sans" w:hAnsi="Liberation Sans" w:eastAsia="Liberation Sans"/>
          <w:sz w:val="21"/>
          <w:color w:val="000000"/>
        </w:rPr>
        <w:t xml:space="preserve">En recursos, identifica importe y periodo, bruto o neto si procede y si es desconocido. La dependencia económica y la carencia de medios tienen reglas propias; no copies el cálculo del IMV o de una PNC. En alimentos, los artículos 142 y 143 del Código Civil distinguen los vínculos y obligaciones. No se identifica automáticamente a todo heredero con alguien obligado y capaz de mantener al solicitante.</w:t>
      </w:r>
    </w:p>
    <w:p>
      <w:pPr>
        <w:pStyle w:val="Heading2"/>
        <w:widowControl/>
        <w:keepNext/>
        <w:keepLines/>
        <w:jc w:val="left"/>
        <w:spacing w:before="120" w:after="100" w:line="270" w:lineRule="auto"/>
      </w:pPr>
      <w:r>
        <w:rPr>
          <w:rFonts w:ascii="Liberation Sans" w:hAnsi="Liberation Sans" w:eastAsia="Liberation Sans"/>
          <w:sz w:val="25"/>
          <w:color w:val="000000"/>
          <w:b/>
        </w:rPr>
        <w:t xml:space="preserve">Ejemplos ficticios</w:t>
      </w:r>
    </w:p>
    <w:p>
      <w:pPr>
        <w:pStyle w:val="Normal"/>
        <w:widowControl/>
        <w:jc w:val="both"/>
        <w:spacing w:before="0" w:after="70" w:line="270" w:lineRule="auto"/>
      </w:pPr>
      <w:r>
        <w:rPr>
          <w:rFonts w:ascii="Liberation Sans" w:hAnsi="Liberation Sans" w:eastAsia="Liberation Sans"/>
          <w:sz w:val="21"/>
          <w:color w:val="000000"/>
        </w:rPr>
        <w:t xml:space="preserve">Alicia, soltera de cincuenta años, cuidó a su madre pensionista y convivió con ella. Ordena dos años de convivencia, los gastos y pagos, la resolución de jubilación y las fuentes de sus tareas. Deja por comprobar una pensión solicitada y la cuestión de alimentos.</w:t>
      </w:r>
    </w:p>
    <w:p>
      <w:pPr>
        <w:pStyle w:val="Normal"/>
        <w:widowControl/>
        <w:jc w:val="both"/>
        <w:spacing w:before="0" w:after="70" w:line="270" w:lineRule="auto"/>
      </w:pPr>
      <w:r>
        <w:rPr>
          <w:rFonts w:ascii="Liberation Sans" w:hAnsi="Liberation Sans" w:eastAsia="Liberation Sans"/>
          <w:sz w:val="21"/>
          <w:color w:val="000000"/>
        </w:rPr>
        <w:t xml:space="preserve">Bruno, de treinta y ocho años, no cumple la edad de la categoría de hijo cuidador del artículo 226.2. Pregunta si puede examinarse el subsidio temporal y reúne sus pruebas propias.</w:t>
      </w:r>
    </w:p>
    <w:p>
      <w:pPr>
        <w:pStyle w:val="Heading2"/>
        <w:widowControl/>
        <w:keepNext/>
        <w:keepLines/>
        <w:jc w:val="left"/>
        <w:spacing w:before="120" w:after="100" w:line="270" w:lineRule="auto"/>
        <w:pageBreakBefore/>
      </w:pPr>
      <w:r>
        <w:rPr>
          <w:rFonts w:ascii="Liberation Sans" w:hAnsi="Liberation Sans" w:eastAsia="Liberation Sans"/>
          <w:sz w:val="25"/>
          <w:color w:val="000000"/>
          <w:b/>
        </w:rPr>
        <w:t xml:space="preserve">Presentación efectos y respuesta</w:t>
      </w:r>
    </w:p>
    <w:p>
      <w:pPr>
        <w:pStyle w:val="Normal"/>
        <w:widowControl/>
        <w:jc w:val="both"/>
        <w:spacing w:before="0" w:after="70" w:line="270" w:lineRule="auto"/>
      </w:pPr>
      <w:r>
        <w:rPr>
          <w:rFonts w:ascii="Liberation Sans" w:hAnsi="Liberation Sans" w:eastAsia="Liberation Sans"/>
          <w:sz w:val="21"/>
          <w:color w:val="000000"/>
        </w:rPr>
        <w:t xml:space="preserve">El reconocimiento de muerte y supervivencia es imprescriptible salvo el auxilio por defunción, pero no se garantizan atrasos ilimitados. Para la pensión, el INSS distingue solicitudes dentro de los tres meses del fallecimiento y posteriores, con retroactividad máxima ordinaria de tres meses desde la solicitud en estas últimas. La fecha inicial depende también de si el causante era trabajador o pensionista. No retrases la presentación esperando que este dossier reúna toda prueba posible.</w:t>
      </w:r>
    </w:p>
    <w:p>
      <w:pPr>
        <w:pStyle w:val="Normal"/>
        <w:widowControl/>
        <w:jc w:val="both"/>
        <w:spacing w:before="0" w:after="70" w:line="270" w:lineRule="auto"/>
      </w:pPr>
      <w:r>
        <w:rPr>
          <w:rFonts w:ascii="Liberation Sans" w:hAnsi="Liberation Sans" w:eastAsia="Liberation Sans"/>
          <w:sz w:val="21"/>
          <w:color w:val="000000"/>
        </w:rPr>
        <w:t xml:space="preserve">Conserva formulario presentado, anexos y registro. Si recibes denegación, la reclamación previa social tiene su propio plazo y objeto. Completar este dossier o tramitar una herencia no sustituye esa reclamación ni conserva por sí solo su plazo.</w:t>
      </w:r>
    </w:p>
    <w:p>
      <w:pPr>
        <w:pStyle w:val="Heading2"/>
        <w:widowControl/>
        <w:keepNext/>
        <w:keepLines/>
        <w:jc w:val="left"/>
        <w:spacing w:before="120" w:after="100" w:line="270" w:lineRule="auto"/>
      </w:pPr>
      <w:r>
        <w:rPr>
          <w:rFonts w:ascii="Liberation Sans" w:hAnsi="Liberation Sans" w:eastAsia="Liberation Sans"/>
          <w:sz w:val="25"/>
          <w:color w:val="000000"/>
          <w:b/>
        </w:rPr>
        <w:t xml:space="preserve">Fuentes oficiales</w:t>
      </w:r>
    </w:p>
    <w:p>
      <w:pPr>
        <w:pStyle w:val="Normal"/>
        <w:widowControl/>
        <w:jc w:val="left"/>
        <w:spacing w:before="0" w:after="70" w:line="270" w:lineRule="auto"/>
      </w:pPr>
      <w:r>
        <w:rPr>
          <w:rFonts w:ascii="Liberation Sans" w:hAnsi="Liberation Sans" w:eastAsia="Liberation Sans"/>
          <w:sz w:val="21"/>
          <w:color w:val="000000"/>
        </w:rPr>
        <w:t xml:space="preserve">LGSS, artículos 226 y 230: https://www.boe.es/buscar/act.php?id=BOE-A-2015-11724</w:t>
      </w:r>
      <w:r>
        <w:br/>
      </w:r>
      <w:r>
        <w:rPr>
          <w:rFonts w:ascii="Liberation Sans" w:hAnsi="Liberation Sans" w:eastAsia="Liberation Sans"/>
          <w:sz w:val="21"/>
          <w:color w:val="000000"/>
        </w:rPr>
        <w:t xml:space="preserve">Orden de 13 de febrero de 1967, aplicada con normas posteriores: https://www.boe.es/buscar/act.php?id=BOE-A-1967-2876</w:t>
      </w:r>
      <w:r>
        <w:br/>
      </w:r>
      <w:r>
        <w:rPr>
          <w:rFonts w:ascii="Liberation Sans" w:hAnsi="Liberation Sans" w:eastAsia="Liberation Sans"/>
          <w:sz w:val="21"/>
          <w:color w:val="000000"/>
        </w:rPr>
        <w:t xml:space="preserve">INSS: pensión y subsidio en favor de familiares, disponibles desde la guía enlazada en la ficha. Código Civil, artículos 142 y 143: https://www.boe.es/buscar/act.php?id=BOE-A-1889-4763</w:t>
      </w:r>
      <w:r>
        <w:br/>
      </w:r>
      <w:r>
        <w:rPr>
          <w:rFonts w:ascii="Liberation Sans" w:hAnsi="Liberation Sans" w:eastAsia="Liberation Sans"/>
          <w:sz w:val="21"/>
          <w:color w:val="000000"/>
        </w:rPr>
        <w:t xml:space="preserve">Edición documental: 1 de noviembre de 2026.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994-26003#a36" TargetMode="External"/><Relationship Id="rId12" Type="http://schemas.openxmlformats.org/officeDocument/2006/relationships/hyperlink" Target="https://www.boe.es/buscar/act.php?id=BOE-A-1889-4763#art1561" TargetMode="External"/><Relationship Id="rId13" Type="http://schemas.openxmlformats.org/officeDocument/2006/relationships/hyperlink" Target="https://www.boe.es/buscar/doc.php?id=BOE-A-2026-208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Microsoft Macintosh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privado en favor de familiares</dc:title>
  <dc:subject>Convivencia recursos y cuidados para preparar una prestación</dc:subject>
  <dc:creator/>
  <cp:keywords/>
  <dc:description>Dossier privado editable con guía y ejemplos separados</dc:description>
  <cp:lastModifiedBy/>
  <cp:revision>1</cp:revision>
  <dcterms:created xsi:type="dcterms:W3CDTF">2026-11-01T03:14:31Z</dcterms:created>
  <dcterms:modified xsi:type="dcterms:W3CDTF">2026-11-01T03:14:31Z</dcterms:modified>
  <cp:category/>
</cp:coreProperties>
</file>