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TRÁFICO Y SEGUROS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Disconformidad con oferta motivada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Respuesta ordenada para señalar omisiones y diferencias sin aceptar la liquidación propuesta.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Aseguradora.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Oferta recibida</w:t>
      </w:r>
    </w:p>
    <w:p>
      <w:pPr>
        <w:jc w:val="both"/>
      </w:pPr>
      <w:r>
        <w:rPr>
          <w:rFonts w:ascii="Arial" w:hAnsi="Arial"/>
        </w:rPr>
        <w:t xml:space="preserve">Oferta de fecha </w:t>
      </w:r>
      <w:r>
        <w:rPr>
          <w:rFonts w:ascii="Arial" w:hAnsi="Arial"/>
          <w:b/>
          <w:color w:val="397CDD"/>
          <w:shd w:fill="E5EFFC"/>
        </w:rPr>
        <w:t>{{FECHA_OFERTA}}</w:t>
      </w:r>
      <w:r>
        <w:rPr>
          <w:rFonts w:ascii="Arial" w:hAnsi="Arial"/>
        </w:rPr>
        <w:t xml:space="preserve">, siniestro </w:t>
      </w:r>
      <w:r>
        <w:rPr>
          <w:rFonts w:ascii="Arial" w:hAnsi="Arial"/>
          <w:b/>
          <w:color w:val="397CDD"/>
          <w:shd w:fill="E5EFFC"/>
        </w:rPr>
        <w:t>{{SINIESTRO}}</w:t>
      </w:r>
      <w:r>
        <w:rPr>
          <w:rFonts w:ascii="Arial" w:hAnsi="Arial"/>
        </w:rPr>
        <w:t xml:space="preserve">, importe </w:t>
      </w:r>
      <w:r>
        <w:rPr>
          <w:rFonts w:ascii="Arial" w:hAnsi="Arial"/>
          <w:b/>
          <w:color w:val="397CDD"/>
          <w:shd w:fill="E5EFFC"/>
        </w:rPr>
        <w:t>{{IMPORTE_OFERTA}}</w:t>
      </w:r>
      <w:r>
        <w:rPr>
          <w:rFonts w:ascii="Arial" w:hAnsi="Arial"/>
        </w:rPr>
        <w:t>.</w:t>
      </w:r>
    </w:p>
    <w:p>
      <w:pPr>
        <w:pStyle w:val="Heading2"/>
      </w:pPr>
      <w:r>
        <w:t>Días de perjuicio</w:t>
      </w:r>
    </w:p>
    <w:p>
      <w:pPr>
        <w:jc w:val="both"/>
      </w:pPr>
      <w:r>
        <w:rPr>
          <w:rFonts w:ascii="Arial" w:hAnsi="Arial"/>
        </w:rPr>
        <w:t xml:space="preserve">La oferta reconoce </w:t>
      </w:r>
      <w:r>
        <w:rPr>
          <w:rFonts w:ascii="Arial" w:hAnsi="Arial"/>
          <w:b/>
          <w:color w:val="397CDD"/>
          <w:shd w:fill="E5EFFC"/>
        </w:rPr>
        <w:t>{{DIAS_OFERTA}}</w:t>
      </w:r>
      <w:r>
        <w:rPr>
          <w:rFonts w:ascii="Arial" w:hAnsi="Arial"/>
        </w:rPr>
        <w:t xml:space="preserve"> y se reclama revisar </w:t>
      </w:r>
      <w:r>
        <w:rPr>
          <w:rFonts w:ascii="Arial" w:hAnsi="Arial"/>
          <w:b/>
          <w:color w:val="397CDD"/>
          <w:shd w:fill="E5EFFC"/>
        </w:rPr>
        <w:t>{{DIAS_RECLAMADOS}}</w:t>
      </w:r>
      <w:r>
        <w:rPr>
          <w:rFonts w:ascii="Arial" w:hAnsi="Arial"/>
        </w:rPr>
        <w:t xml:space="preserve"> por </w:t>
      </w:r>
      <w:r>
        <w:rPr>
          <w:rFonts w:ascii="Arial" w:hAnsi="Arial"/>
          <w:b/>
          <w:color w:val="397CDD"/>
          <w:shd w:fill="E5EFFC"/>
        </w:rPr>
        <w:t>{{FUNDAMENTO_DIAS}}</w:t>
      </w:r>
      <w:r>
        <w:rPr>
          <w:rFonts w:ascii="Arial" w:hAnsi="Arial"/>
        </w:rPr>
        <w:t>.</w:t>
      </w:r>
    </w:p>
    <w:p>
      <w:pPr>
        <w:pStyle w:val="Heading2"/>
      </w:pPr>
      <w:r>
        <w:t>Secuelas</w:t>
      </w:r>
    </w:p>
    <w:p>
      <w:pPr>
        <w:jc w:val="both"/>
      </w:pPr>
      <w:r>
        <w:rPr>
          <w:rFonts w:ascii="Arial" w:hAnsi="Arial"/>
        </w:rPr>
        <w:t xml:space="preserve">Secuelas valoradas </w:t>
      </w:r>
      <w:r>
        <w:rPr>
          <w:rFonts w:ascii="Arial" w:hAnsi="Arial"/>
          <w:b/>
          <w:color w:val="397CDD"/>
          <w:shd w:fill="E5EFFC"/>
        </w:rPr>
        <w:t>{{SECUELAS_OFERTA}}</w:t>
      </w:r>
      <w:r>
        <w:rPr>
          <w:rFonts w:ascii="Arial" w:hAnsi="Arial"/>
        </w:rPr>
        <w:t xml:space="preserve">; discrepancia </w:t>
      </w:r>
      <w:r>
        <w:rPr>
          <w:rFonts w:ascii="Arial" w:hAnsi="Arial"/>
          <w:b/>
          <w:color w:val="397CDD"/>
          <w:shd w:fill="E5EFFC"/>
        </w:rPr>
        <w:t>{{DISCREPANCIA_SECUELAS}}</w:t>
      </w:r>
      <w:r>
        <w:rPr>
          <w:rFonts w:ascii="Arial" w:hAnsi="Arial"/>
        </w:rPr>
        <w:t xml:space="preserve"> sustentada en </w:t>
      </w:r>
      <w:r>
        <w:rPr>
          <w:rFonts w:ascii="Arial" w:hAnsi="Arial"/>
          <w:b/>
          <w:color w:val="397CDD"/>
          <w:shd w:fill="E5EFFC"/>
        </w:rPr>
        <w:t>{{INFORME}}</w:t>
      </w:r>
      <w:r>
        <w:rPr>
          <w:rFonts w:ascii="Arial" w:hAnsi="Arial"/>
        </w:rPr>
        <w:t>.</w:t>
      </w:r>
    </w:p>
    <w:p>
      <w:pPr>
        <w:pStyle w:val="Heading2"/>
      </w:pPr>
      <w:r>
        <w:t>Perjuicios y gastos</w:t>
      </w:r>
    </w:p>
    <w:p>
      <w:pPr>
        <w:jc w:val="both"/>
      </w:pPr>
      <w:r>
        <w:rPr>
          <w:rFonts w:ascii="Arial" w:hAnsi="Arial"/>
        </w:rPr>
        <w:t xml:space="preserve">Se omiten o infravaloran </w:t>
      </w:r>
      <w:r>
        <w:rPr>
          <w:rFonts w:ascii="Arial" w:hAnsi="Arial"/>
          <w:b/>
          <w:color w:val="397CDD"/>
          <w:shd w:fill="E5EFFC"/>
        </w:rPr>
        <w:t>{{CONCEPTOS_OMITIDOS}}</w:t>
      </w:r>
      <w:r>
        <w:rPr>
          <w:rFonts w:ascii="Arial" w:hAnsi="Arial"/>
        </w:rPr>
        <w:t xml:space="preserve">, acreditados mediante </w:t>
      </w:r>
      <w:r>
        <w:rPr>
          <w:rFonts w:ascii="Arial" w:hAnsi="Arial"/>
          <w:b/>
          <w:color w:val="397CDD"/>
          <w:shd w:fill="E5EFFC"/>
        </w:rPr>
        <w:t>{{PRUEBA}}</w:t>
      </w:r>
      <w:r>
        <w:rPr>
          <w:rFonts w:ascii="Arial" w:hAnsi="Arial"/>
        </w:rPr>
        <w:t>.</w:t>
      </w:r>
    </w:p>
    <w:p>
      <w:pPr>
        <w:pStyle w:val="Heading2"/>
      </w:pPr>
      <w:r>
        <w:t>Petición</w:t>
      </w:r>
    </w:p>
    <w:p>
      <w:pPr>
        <w:jc w:val="both"/>
      </w:pPr>
      <w:r>
        <w:rPr>
          <w:rFonts w:ascii="Arial" w:hAnsi="Arial"/>
        </w:rPr>
        <w:t xml:space="preserve">Se solicita nueva oferta desglosada por </w:t>
      </w:r>
      <w:r>
        <w:rPr>
          <w:rFonts w:ascii="Arial" w:hAnsi="Arial"/>
          <w:b/>
          <w:color w:val="397CDD"/>
          <w:shd w:fill="E5EFFC"/>
        </w:rPr>
        <w:t>{{CUANTIA_O_CRITERIO}}</w:t>
      </w:r>
      <w:r>
        <w:rPr>
          <w:rFonts w:ascii="Arial" w:hAnsi="Arial"/>
        </w:rPr>
        <w:t>, manteniendo abierta la negociación y sin renuncia de acciones.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r>
        <w:br w:type="page"/>
      </w: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Oferta completa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Informe médico definitivo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Cálculo alternativo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Facturas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Pérdidas de ingresos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No discutas solo el total; identifica cada partida.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Diferenciar error documental y discrepancia médica.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Revisa prescripción aunque continúe la negociación.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Ley sobre responsabilidad civil y seguro</w:t>
      </w:r>
      <w:r>
        <w:t xml:space="preserve"> — https://www.boe.es/buscar/act.php?id=BOE-A-2004-18911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