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t>CIVIL · COMUNICACIÓN EXTRAJUDICIAL</w:t>
      </w:r>
    </w:p>
    <w:p>
      <w:pPr>
        <w:pStyle w:val="Title"/>
        <w:keepNext/>
      </w:pPr>
      <w:r>
        <w:t>Comunicación de desistimiento del alquiler de vivienda</w:t>
      </w:r>
    </w:p>
    <w:p>
      <w:pPr/>
      <w:r>
        <w:t>Para comunicar la salida anticipada, concretar la entrega de llaves y solicitar la liquidación, después de comprobar qué régimen y preaviso corresponden.</w:t>
      </w:r>
    </w:p>
    <w:p>
      <w:pPr/>
      <w:r>
        <w:t xml:space="preserve">Remitente: </w:t>
      </w:r>
      <w:r>
        <w:rPr>
          <w:color w:val="2F80ED"/>
        </w:rPr>
        <w:t>[NOMBRE, DOCUMENTO IDENTIFICATIVO Y DOMICILIO]</w:t>
      </w:r>
      <w:r>
        <w:t xml:space="preserve">. Destinatario arrendador: </w:t>
      </w:r>
      <w:r>
        <w:rPr>
          <w:color w:val="2F80ED"/>
        </w:rPr>
        <w:t>[NOMBRE O RAZÓN SOCIAL Y DOMICILIO O CANAL ACORDADO]</w:t>
      </w:r>
      <w:r>
        <w:t>.</w:t>
      </w:r>
    </w:p>
    <w:p>
      <w:pPr/>
      <w:r>
        <w:t xml:space="preserve">Vivienda: </w:t>
      </w:r>
      <w:r>
        <w:rPr>
          <w:color w:val="2F80ED"/>
        </w:rPr>
        <w:t>[DIRECCIÓN]</w:t>
      </w:r>
      <w:r>
        <w:t xml:space="preserve">. Contrato de </w:t>
      </w:r>
      <w:r>
        <w:rPr>
          <w:color w:val="2F80ED"/>
        </w:rPr>
        <w:t>[FECHA]</w:t>
      </w:r>
      <w:r>
        <w:t xml:space="preserve">, con inicio el </w:t>
      </w:r>
      <w:r>
        <w:rPr>
          <w:color w:val="2F80ED"/>
        </w:rPr>
        <w:t>[FECHA]</w:t>
      </w:r>
      <w:r>
        <w:t xml:space="preserve"> y destinado a </w:t>
      </w:r>
      <w:r>
        <w:rPr>
          <w:color w:val="2F80ED"/>
        </w:rPr>
        <w:t>[VIVIENDA HABITUAL O TEMPORAL SEGÚN SU FINALIDAD REAL]</w:t>
      </w:r>
      <w:r>
        <w:t>.</w:t>
      </w:r>
    </w:p>
    <w:p>
      <w:pPr>
        <w:pStyle w:val="Heading2"/>
        <w:keepNext/>
      </w:pPr>
      <w:r>
        <w:t>Comunicación y fecha de salida</w:t>
      </w:r>
    </w:p>
    <w:p>
      <w:pPr/>
      <w:r>
        <w:t xml:space="preserve">Comunico mi decisión de desistir anticipadamente del arrendamiento, con efectos el </w:t>
      </w:r>
      <w:r>
        <w:rPr>
          <w:color w:val="2F80ED"/>
        </w:rPr>
        <w:t>[FECHA DE EXTINCIÓN]</w:t>
      </w:r>
      <w:r>
        <w:t xml:space="preserve">. Solicito acordar la entrega de las llaves y de la posesión para ese día, a las </w:t>
      </w:r>
      <w:r>
        <w:rPr>
          <w:color w:val="2F80ED"/>
        </w:rPr>
        <w:t>[HORA O FRANJA PROPUESTA]</w:t>
      </w:r>
      <w:r>
        <w:t>.</w:t>
      </w:r>
    </w:p>
    <w:p>
      <w:pPr/>
      <w:r>
        <w:t xml:space="preserve">La comunicación se remite por </w:t>
      </w:r>
      <w:r>
        <w:rPr>
          <w:color w:val="2F80ED"/>
        </w:rPr>
        <w:t>[MEDIO QUE PERMITA ACREDITAR CONTENIDO Y RECEPCIÓN]</w:t>
      </w:r>
      <w:r>
        <w:t xml:space="preserve">. El tiempo transcurrido desde el inicio y el preaviso efectivo hasta la fecha señalada son </w:t>
      </w:r>
      <w:r>
        <w:rPr>
          <w:color w:val="2F80ED"/>
        </w:rPr>
        <w:t>[MESES Y DÍAS, UNA VEZ COMPROBADOS]</w:t>
      </w:r>
      <w:r>
        <w:t xml:space="preserve">. El fundamento del desistimiento es </w:t>
      </w:r>
      <w:r>
        <w:rPr>
          <w:color w:val="2F80ED"/>
        </w:rPr>
        <w:t>[ARTÍCULO 11 LAU EN SU REDACCIÓN APLICABLE U OTRO PACTO VÁLIDO QUE LO PERMITA]</w:t>
      </w:r>
      <w:r>
        <w:t>.</w:t>
      </w:r>
    </w:p>
    <w:p>
      <w:pPr>
        <w:pStyle w:val="Heading2"/>
        <w:keepNext/>
      </w:pPr>
      <w:r>
        <w:t>Entrega del inmueble y liquidación</w:t>
      </w:r>
    </w:p>
    <w:p>
      <w:pPr/>
      <w:r>
        <w:t xml:space="preserve">Propongo revisar conjuntamente el estado del inmueble, dejar constancia de las lecturas de suministros y firmar un documento de entrega. Aporto o identifico </w:t>
      </w:r>
      <w:r>
        <w:rPr>
          <w:color w:val="2F80ED"/>
        </w:rPr>
        <w:t>[INVENTARIO, FOTOGRAFÍAS Y DEMÁS DOCUMENTACIÓN REAL]</w:t>
      </w:r>
      <w:r>
        <w:t>.</w:t>
      </w:r>
    </w:p>
    <w:p>
      <w:pPr/>
      <w:r>
        <w:t xml:space="preserve">Entregué </w:t>
      </w:r>
      <w:r>
        <w:rPr>
          <w:color w:val="2F80ED"/>
        </w:rPr>
        <w:t>[IMPORTE]</w:t>
      </w:r>
      <w:r>
        <w:t xml:space="preserve"> euros de fianza legal y </w:t>
      </w:r>
      <w:r>
        <w:rPr>
          <w:color w:val="2F80ED"/>
        </w:rPr>
        <w:t>[IMPORTE Y TIPO, O NO EXISTE]</w:t>
      </w:r>
      <w:r>
        <w:t xml:space="preserve"> de garantía adicional. Solicito una liquidación documentada de los conceptos pendientes y la devolución del saldo debido por </w:t>
      </w:r>
      <w:r>
        <w:rPr>
          <w:color w:val="2F80ED"/>
        </w:rPr>
        <w:t>[MEDIO DE PAGO Y REFERENCIA]</w:t>
      </w:r>
      <w:r>
        <w:t>.</w:t>
      </w:r>
    </w:p>
    <w:p>
      <w:pPr/>
      <w:r>
        <w:t>Esta comunicación no supone aceptar descuentos o indemnizaciones discutidos. Si considera que procede algún importe, solicito que identifique su base legal y contractual, el concepto y el cálculo para poder revisarlos.</w:t>
      </w:r>
    </w:p>
    <w:p>
      <w:pPr>
        <w:pStyle w:val="Heading2"/>
        <w:keepNext/>
      </w:pPr>
      <w:r>
        <w:t>Confirmación y contacto</w:t>
      </w:r>
    </w:p>
    <w:p>
      <w:pPr/>
      <w:r>
        <w:t xml:space="preserve">Ruego confirme por </w:t>
      </w:r>
      <w:r>
        <w:rPr>
          <w:color w:val="2F80ED"/>
        </w:rPr>
        <w:t>[CANAL]</w:t>
      </w:r>
      <w:r>
        <w:t xml:space="preserve"> la recepción y la cita de entrega. Desde la salida, mi domicilio o canal para notificaciones será </w:t>
      </w:r>
      <w:r>
        <w:rPr>
          <w:color w:val="2F80ED"/>
        </w:rPr>
        <w:t>[DATOS]</w:t>
      </w:r>
      <w:r>
        <w:t>.</w:t>
      </w:r>
    </w:p>
    <w:p>
      <w:pPr/>
      <w:r>
        <w:t xml:space="preserve">En </w:t>
      </w:r>
      <w:r>
        <w:rPr>
          <w:color w:val="2F80ED"/>
        </w:rPr>
        <w:t>[LOCALIDAD]</w:t>
      </w:r>
      <w:r>
        <w:t xml:space="preserve">, a </w:t>
      </w:r>
      <w:r>
        <w:rPr>
          <w:color w:val="2F80ED"/>
        </w:rPr>
        <w:t>[FECHA]</w:t>
      </w:r>
      <w:r>
        <w:t xml:space="preserve">. Firma de </w:t>
      </w:r>
      <w:r>
        <w:rPr>
          <w:color w:val="2F80ED"/>
        </w:rPr>
        <w:t>[NOMBRE Y CONDICIÓN; SI ACTÚA UN REPRESENTANTE, REPRESENTACIÓN ACREDITADA]</w:t>
      </w:r>
      <w:r>
        <w:t>.</w:t>
      </w:r>
    </w:p>
    <w:p>
      <w:pPr>
        <w:pStyle w:val="Heading1"/>
        <w:keepNext/>
        <w:pageBreakBefore/>
      </w:pPr>
      <w:r>
        <w:t>Guía de uso y ejemplos</w:t>
      </w:r>
    </w:p>
    <w:p>
      <w:pPr/>
      <w:r>
        <w:t>NO ADJUNTAR ESTA GUÍA. Sustituye los campos azules, elimina alternativas no aplicables y separa la guía y sus ejemplos antes de firmar o enviar. Los hechos e importes de los ejemplos son ficticios.</w:t>
      </w:r>
    </w:p>
    <w:p>
      <w:pPr>
        <w:pStyle w:val="Heading2"/>
        <w:keepNext/>
      </w:pPr>
      <w:r>
        <w:t>Qué comprobar antes de comunicar la salida</w:t>
      </w:r>
    </w:p>
    <w:p>
      <w:pPr/>
      <w:r>
        <w:t>Lee el contrato completo y comprueba su finalidad real, la fecha y la redacción legal aplicable. Desistir antes del vencimiento, no renovar al terminar y resolver por un incumplimiento son decisiones distintas. La fecha del envío no acredita por sí sola la recepción.</w:t>
      </w:r>
    </w:p>
    <w:p>
      <w:pPr/>
      <w:r>
        <w:t>Vivienda habitual bajo el artículo 11.1 vigente desde el 8 de octubre de 2026: al menos seis meses y preaviso mínimo de treinta días. Vivienda temporal bajo el artículo 11.2: al menos un mes desde la formalización y diez días de preaviso. El artículo 11.3 excluye indemnización al arrendador por el desistimiento ejercido conforme a esos apartados; no promete gratuidad por cualquier salida o falta de preaviso.</w:t>
      </w:r>
      <w:r>
        <w:t xml:space="preserve"> La exclusión de indemnización no elimina las rentas, suministros u otros importes que se deban y deban justificarse por separado.</w:t>
      </w:r>
    </w:p>
    <w:p>
      <w:pPr/>
      <w:r>
        <w:t>No apliques sin comprobarlo estas reglas a cualquier contrato anterior. La DT8 LAU mantiene para los contratos de temporada o temporales anteriores el régimen previo hasta finalizar el plazo pactado, sin prórroga; el arrendamiento temporal renovado se somete a las reglas nuevas. Revisa también las normas civiles o territoriales aplicables. La redacción histórica del artículo 11 contemplaba una indemnización pactada; no la copies como regla actual ni des por extinguida cualquier cláusula de un contrato anterior.</w:t>
      </w:r>
    </w:p>
    <w:p>
      <w:pPr>
        <w:pStyle w:val="Heading2"/>
        <w:keepNext/>
      </w:pPr>
      <w:r>
        <w:t>Documentación y envío</w:t>
      </w:r>
    </w:p>
    <w:p>
      <w:pPr/>
      <w:r>
        <w:t>Conserva contrato, anexos y prueba del inicio. Calcula el preaviso desde una recepción acreditable y conserva el contenido íntegro del envío. Si hay varios arrendatarios, representación o derechos de convivencia, revisa quién debe comunicar y los efectos para quienes continúan.</w:t>
      </w:r>
    </w:p>
    <w:p>
      <w:pPr/>
      <w:r>
        <w:t>Acuerda llaves, estado y suministros. Separa fianza legal y garantía adicional y descuenta lo ya devuelto. El artículo 36.4 regula el interés del saldo de fianza debido tras un mes desde las llaves. El documento del estado del inmueble y la presunción del artículo 36.7 requieren comprobar el régimen temporal; no inventes una firma conjunta que no exista.</w:t>
      </w:r>
    </w:p>
    <w:p>
      <w:pPr>
        <w:pStyle w:val="Heading2"/>
        <w:keepNext/>
      </w:pPr>
      <w:r>
        <w:t>Ejemplos ficticios para orientar la redacción</w:t>
      </w:r>
    </w:p>
    <w:p>
      <w:pPr/>
      <w:r>
        <w:t>Ejemplo 1. Vivienda habitual: «Una vez comprobado que se aplica la redacción actual del artículo 11, identifico la fecha de inicio, los seis meses ya transcurridos y una fecha de salida que respeta treinta días desde la recepción acreditada. Pido cita de llaves y la liquidación del saldo». No sustituyas las fechas ni afirmes que cumples el plazo sin calcularlo.</w:t>
      </w:r>
    </w:p>
    <w:p>
      <w:pPr/>
      <w:r>
        <w:t>Ejemplo 2. Alquiler anunciado como temporal: «El contrato se firmó después del 8 de octubre de 2026 y su finalidad temporal real está documentada. Compruebo el mes desde la formalización y los diez días de preaviso del régimen aplicable». Si el contrato es anterior o encubre vivienda habitual, no basta con su título para escoger esa regla.</w:t>
      </w:r>
    </w:p>
    <w:p>
      <w:pPr>
        <w:pStyle w:val="Heading2"/>
        <w:keepNext/>
      </w:pPr>
      <w:r>
        <w:t>Fuentes oficiales y revisión</w:t>
      </w:r>
    </w:p>
    <w:p>
      <w:pPr/>
      <w:r>
        <w:t>LAU, artículos 4, 6, 11 y 36 y disposición transitoria octava. RDL 29/2026, artículo 3.9 y 3.22 y disposición final decimoprimera. Revisión: 16 de octubre de 2026. Información general que debe adaptarse a los hechos y a la ley aplicable.</w:t>
      </w:r>
    </w:p>
    <w:p>
      <w:hyperlink r:id="rId14">
        <w:r>
          <w:rPr>
            <w:color w:val="176D91"/>
          </w:rPr>
          <w:t>Ley de Arrendamientos Urbanos vigente</w:t>
        </w:r>
      </w:hyperlink>
    </w:p>
    <w:p>
      <w:hyperlink r:id="rId15">
        <w:r>
          <w:rPr>
            <w:color w:val="176D91"/>
          </w:rPr>
          <w:t>RDL 29/2026 publicado en el BOE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994-26003#a36" TargetMode="External"/><Relationship Id="rId12" Type="http://schemas.openxmlformats.org/officeDocument/2006/relationships/hyperlink" Target="https://www.boe.es/buscar/act.php?id=BOE-A-1889-4763#art1561" TargetMode="External"/><Relationship Id="rId13" Type="http://schemas.openxmlformats.org/officeDocument/2006/relationships/hyperlink" Target="https://www.boe.es/buscar/doc.php?id=BOE-A-2026-20823" TargetMode="External"/><Relationship Id="rId14" Type="http://schemas.openxmlformats.org/officeDocument/2006/relationships/hyperlink" Target="https://www.boe.es/buscar/act.php?id=BOE-A-1994-26003" TargetMode="External"/><Relationship Id="rId15" Type="http://schemas.openxmlformats.org/officeDocument/2006/relationships/hyperlink" Target="https://www.boe.es/diario_boe/txt.php?id=BOE-A-2026-208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Comunicación de desistimiento del alquiler de vivienda</dc:title>
  <dc:subject>Modelo jurídico editable revisado el 16 de octubre de 2026</dc:subject>
  <dc:creator>Pérez &amp; Burgos Abogados</dc:creator>
  <cp:keywords/>
  <dc:description>Modelo jurídico editable de Pérez &amp; Burgos Abogados</dc:description>
  <cp:lastModifiedBy>Pérez &amp; Burgos Abogados</cp:lastModifiedBy>
  <cp:revision>1</cp:revision>
  <dcterms:created xsi:type="dcterms:W3CDTF">2013-12-23T23:15:00Z</dcterms:created>
  <dcterms:modified xsi:type="dcterms:W3CDTF">2026-10-15T18:29:51Z</dcterms:modified>
  <cp:category/>
</cp:coreProperties>
</file>