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397CDD"/>
          <w:sz w:val="16"/>
        </w:rPr>
        <w:t>CIVIL Y HERENCIAS</w:t>
      </w:r>
    </w:p>
    <w:p>
      <w:pPr>
        <w:pStyle w:val="Title"/>
        <w:jc w:val="center"/>
      </w:pPr>
      <w:r>
        <w:rPr>
          <w:rFonts w:ascii="Georgia" w:hAnsi="Georgia"/>
          <w:b/>
          <w:color w:val="102E3C"/>
          <w:sz w:val="42"/>
        </w:rPr>
        <w:t>Cuaderno privado sencillo de operaciones particionales: borrador para revisión</w:t>
      </w:r>
    </w:p>
    <w:p>
      <w:pPr>
        <w:jc w:val="center"/>
      </w:pPr>
      <w:r>
        <w:rPr>
          <w:rFonts w:ascii="Arial" w:hAnsi="Arial"/>
          <w:color w:val="68777D"/>
          <w:sz w:val="20"/>
        </w:rPr>
        <w:t>Cuaderno de trabajo con inventario, avalúo, liquidación y lotes propuestos para preparar una partición sencilla con revisión profesional.</w:t>
      </w:r>
    </w:p>
    <w:tbl>
      <w:tblPr>
        <w:tblW w:type="auto" w:w="0"/>
        <w:tblLayout w:type="autofit"/>
        <w:tblLook w:firstColumn="1" w:firstRow="1" w:lastColumn="0" w:lastRow="0" w:noHBand="0" w:noVBand="1" w:val="04A0"/>
      </w:tblPr>
      <w:tblGrid>
        <w:gridCol w:w="9547"/>
      </w:tblGrid>
      <w:tr>
        <w:tc>
          <w:tcPr>
            <w:tcW w:type="dxa" w:w="9547"/>
            <w:shd w:fill="F4EFE7"/>
          </w:tcPr>
          <w:p>
            <w:r>
              <w:rPr>
                <w:rFonts w:ascii="Arial" w:hAnsi="Arial"/>
                <w:b/>
                <w:color w:val="102E3C"/>
                <w:sz w:val="20"/>
              </w:rPr>
              <w:t>APOYO A TRÁMITE OFICIAL · GUÍA DE USO</w:t>
            </w:r>
          </w:p>
          <w:p>
            <w:r>
              <w:rPr>
                <w:rFonts w:ascii="Arial" w:hAnsi="Arial"/>
                <w:color w:val="263A43"/>
                <w:sz w:val="20"/>
              </w:rPr>
              <w:t>Se ofrece deliberadamente como borrador sin firmas de adjudicación. Un cuaderno privado definitivo puede producir efectos y la partición puede implicar aceptación; se entrega como documento de trabajo y no como título listo para firmar o presentar. Este recurso no sustituye la repudiación notarial ni la declaración y el inventario necesarios para el beneficio de inventario. En Derecho común, la aceptación pura y simple puede ser expresa en documento público o privado, o tácita por los actos realizados; una cláusula de reserva no neutraliza un acto que jurídicamente implique aceptación.</w:t>
            </w:r>
          </w:p>
          <w:p>
            <w:r>
              <w:rPr>
                <w:rFonts w:ascii="Arial" w:hAnsi="Arial"/>
                <w:color w:val="263A43"/>
                <w:sz w:val="20"/>
              </w:rPr>
              <w:t>Completa solo datos comprobados, elimina alternativas incompatibles y conserva una copia y el justificante de presentación.</w:t>
            </w:r>
          </w:p>
        </w:tc>
      </w:tr>
    </w:tbl>
    <w:p>
      <w:pPr>
        <w:pStyle w:val="Heading1"/>
        <w:jc w:val="center"/>
      </w:pPr>
      <w:r>
        <w:t>APOYO A TRÁMITE OFICIAL</w:t>
      </w:r>
    </w:p>
    <w:p>
      <w:pPr>
        <w:jc w:val="both"/>
      </w:pPr>
      <w:r>
        <w:rPr>
          <w:rFonts w:ascii="Arial" w:hAnsi="Arial"/>
          <w:color w:val="263A43"/>
          <w:sz w:val="20"/>
        </w:rPr>
        <w:t>Complete los campos entre corchetes. Antes de presentar una carta, elimine las indicaciones de uso y las alternativas no aplicables. Las fichas y borradores conservan su carácter preparatorio.</w:t>
      </w:r>
    </w:p>
    <w:p>
      <w:pPr>
        <w:pStyle w:val="Heading2"/>
      </w:pPr>
      <w:r>
        <w:t>CUADERNO DE OPERACIONES PARTICIONALES — BORRADOR SIN EFECTOS DE ADJUDICACIÓN</w:t>
      </w:r>
    </w:p>
    <w:p>
      <w:pPr>
        <w:jc w:val="both"/>
      </w:pPr>
      <w:r>
        <w:rPr>
          <w:rFonts w:ascii="Arial" w:hAnsi="Arial"/>
          <w:color w:val="263A43"/>
          <w:sz w:val="20"/>
        </w:rPr>
        <w:t xml:space="preserve">Sucesión de </w:t>
      </w:r>
      <w:r>
        <w:rPr>
          <w:rFonts w:ascii="Arial" w:hAnsi="Arial"/>
          <w:b/>
          <w:color w:val="397CDD"/>
          <w:sz w:val="20"/>
          <w:shd w:fill="E8F0FB"/>
        </w:rPr>
        <w:t>[NOMBRE DEL CAUSANTE]</w:t>
      </w:r>
      <w:r>
        <w:rPr>
          <w:rFonts w:ascii="Arial" w:hAnsi="Arial"/>
          <w:color w:val="263A43"/>
          <w:sz w:val="20"/>
        </w:rPr>
        <w:t xml:space="preserve">. Versión </w:t>
      </w:r>
      <w:r>
        <w:rPr>
          <w:rFonts w:ascii="Arial" w:hAnsi="Arial"/>
          <w:b/>
          <w:color w:val="397CDD"/>
          <w:sz w:val="20"/>
          <w:shd w:fill="E8F0FB"/>
        </w:rPr>
        <w:t>[NÚMERO]</w:t>
      </w:r>
      <w:r>
        <w:rPr>
          <w:rFonts w:ascii="Arial" w:hAnsi="Arial"/>
          <w:color w:val="263A43"/>
          <w:sz w:val="20"/>
        </w:rPr>
        <w:t xml:space="preserve">, preparada el </w:t>
      </w:r>
      <w:r>
        <w:rPr>
          <w:rFonts w:ascii="Arial" w:hAnsi="Arial"/>
          <w:b/>
          <w:color w:val="397CDD"/>
          <w:sz w:val="20"/>
          <w:shd w:fill="E8F0FB"/>
        </w:rPr>
        <w:t>[FECHA]</w:t>
      </w:r>
      <w:r>
        <w:rPr>
          <w:rFonts w:ascii="Arial" w:hAnsi="Arial"/>
          <w:color w:val="263A43"/>
          <w:sz w:val="20"/>
        </w:rPr>
        <w:t xml:space="preserve"> por </w:t>
      </w:r>
      <w:r>
        <w:rPr>
          <w:rFonts w:ascii="Arial" w:hAnsi="Arial"/>
          <w:b/>
          <w:color w:val="397CDD"/>
          <w:sz w:val="20"/>
          <w:shd w:fill="E8F0FB"/>
        </w:rPr>
        <w:t>[PERSONA]</w:t>
      </w:r>
      <w:r>
        <w:rPr>
          <w:rFonts w:ascii="Arial" w:hAnsi="Arial"/>
          <w:color w:val="263A43"/>
          <w:sz w:val="20"/>
        </w:rPr>
        <w:t>.</w:t>
      </w:r>
    </w:p>
    <w:p>
      <w:pPr>
        <w:jc w:val="both"/>
      </w:pPr>
      <w:r>
        <w:rPr>
          <w:rFonts w:ascii="Arial" w:hAnsi="Arial"/>
          <w:color w:val="263A43"/>
          <w:sz w:val="20"/>
        </w:rPr>
        <w:t>Documento de trabajo para revisión profesional. No firmar como aceptación, no presentar como título de adjudicación y no ejecutar pagos o entregas con esta versión.</w:t>
      </w:r>
    </w:p>
    <w:p>
      <w:pPr>
        <w:pStyle w:val="Heading2"/>
      </w:pPr>
      <w:r>
        <w:t>I. PERSONAS, LEY Y TÍTULO SUCESORIO</w:t>
      </w:r>
    </w:p>
    <w:p>
      <w:pPr>
        <w:jc w:val="both"/>
      </w:pPr>
      <w:r>
        <w:rPr>
          <w:rFonts w:ascii="Arial" w:hAnsi="Arial"/>
          <w:color w:val="263A43"/>
          <w:sz w:val="20"/>
        </w:rPr>
        <w:t xml:space="preserve">Causante: </w:t>
      </w:r>
      <w:r>
        <w:rPr>
          <w:rFonts w:ascii="Arial" w:hAnsi="Arial"/>
          <w:b/>
          <w:color w:val="397CDD"/>
          <w:sz w:val="20"/>
          <w:shd w:fill="E8F0FB"/>
        </w:rPr>
        <w:t>[IDENTIFICACIÓN]</w:t>
      </w:r>
      <w:r>
        <w:rPr>
          <w:rFonts w:ascii="Arial" w:hAnsi="Arial"/>
          <w:color w:val="263A43"/>
          <w:sz w:val="20"/>
        </w:rPr>
        <w:t xml:space="preserve">. Fallecimiento: </w:t>
      </w:r>
      <w:r>
        <w:rPr>
          <w:rFonts w:ascii="Arial" w:hAnsi="Arial"/>
          <w:b/>
          <w:color w:val="397CDD"/>
          <w:sz w:val="20"/>
          <w:shd w:fill="E8F0FB"/>
        </w:rPr>
        <w:t>[FECHA Y LUGAR]</w:t>
      </w:r>
      <w:r>
        <w:rPr>
          <w:rFonts w:ascii="Arial" w:hAnsi="Arial"/>
          <w:color w:val="263A43"/>
          <w:sz w:val="20"/>
        </w:rPr>
        <w:t xml:space="preserve">. Nacionalidad, vecindad civil y residencia habitual relevantes: </w:t>
      </w:r>
      <w:r>
        <w:rPr>
          <w:rFonts w:ascii="Arial" w:hAnsi="Arial"/>
          <w:b/>
          <w:color w:val="397CDD"/>
          <w:sz w:val="20"/>
          <w:shd w:fill="E8F0FB"/>
        </w:rPr>
        <w:t>[DATOS Y DOCUMENTOS]</w:t>
      </w:r>
      <w:r>
        <w:rPr>
          <w:rFonts w:ascii="Arial" w:hAnsi="Arial"/>
          <w:color w:val="263A43"/>
          <w:sz w:val="20"/>
        </w:rPr>
        <w:t xml:space="preserve">. Ley sucesoria comprobada: </w:t>
      </w:r>
      <w:r>
        <w:rPr>
          <w:rFonts w:ascii="Arial" w:hAnsi="Arial"/>
          <w:b/>
          <w:color w:val="397CDD"/>
          <w:sz w:val="20"/>
          <w:shd w:fill="E8F0FB"/>
        </w:rPr>
        <w:t>[LEY Y FUNDAMENTO / PENDIENTE]</w:t>
      </w:r>
      <w:r>
        <w:rPr>
          <w:rFonts w:ascii="Arial" w:hAnsi="Arial"/>
          <w:color w:val="263A43"/>
          <w:sz w:val="20"/>
        </w:rPr>
        <w:t>.</w:t>
      </w:r>
    </w:p>
    <w:p>
      <w:pPr>
        <w:jc w:val="both"/>
      </w:pPr>
      <w:r>
        <w:rPr>
          <w:rFonts w:ascii="Arial" w:hAnsi="Arial"/>
          <w:color w:val="263A43"/>
          <w:sz w:val="20"/>
        </w:rPr>
        <w:t xml:space="preserve">Estado civil y régimen matrimonial: </w:t>
      </w:r>
      <w:r>
        <w:rPr>
          <w:rFonts w:ascii="Arial" w:hAnsi="Arial"/>
          <w:b/>
          <w:color w:val="397CDD"/>
          <w:sz w:val="20"/>
          <w:shd w:fill="E8F0FB"/>
        </w:rPr>
        <w:t>[DATOS]</w:t>
      </w:r>
      <w:r>
        <w:rPr>
          <w:rFonts w:ascii="Arial" w:hAnsi="Arial"/>
          <w:color w:val="263A43"/>
          <w:sz w:val="20"/>
        </w:rPr>
        <w:t xml:space="preserve">. Liquidación matrimonial previa: </w:t>
      </w:r>
      <w:r>
        <w:rPr>
          <w:rFonts w:ascii="Arial" w:hAnsi="Arial"/>
          <w:b/>
          <w:color w:val="397CDD"/>
          <w:sz w:val="20"/>
          <w:shd w:fill="E8F0FB"/>
        </w:rPr>
        <w:t>[DOCUMENTO / OPERACIONES PENDIENTES]</w:t>
      </w:r>
      <w:r>
        <w:rPr>
          <w:rFonts w:ascii="Arial" w:hAnsi="Arial"/>
          <w:color w:val="263A43"/>
          <w:sz w:val="20"/>
        </w:rPr>
        <w:t>. Solo se incorpora al caudal lo atribuible al causante.</w:t>
      </w:r>
    </w:p>
    <w:p>
      <w:pPr>
        <w:jc w:val="both"/>
      </w:pPr>
      <w:r>
        <w:rPr>
          <w:rFonts w:ascii="Arial" w:hAnsi="Arial"/>
          <w:color w:val="263A43"/>
          <w:sz w:val="20"/>
        </w:rPr>
        <w:t xml:space="preserve">Título sucesorio: </w:t>
      </w:r>
      <w:r>
        <w:rPr>
          <w:rFonts w:ascii="Arial" w:hAnsi="Arial"/>
          <w:b/>
          <w:color w:val="397CDD"/>
          <w:sz w:val="20"/>
          <w:shd w:fill="E8F0FB"/>
        </w:rPr>
        <w:t>[TESTAMENTO O DECLARACIÓN, NOTARIO, FECHA, PROTOCOLO Y CLÁUSULAS]</w:t>
      </w:r>
      <w:r>
        <w:rPr>
          <w:rFonts w:ascii="Arial" w:hAnsi="Arial"/>
          <w:color w:val="263A43"/>
          <w:sz w:val="20"/>
        </w:rPr>
        <w:t xml:space="preserve">. Partición previa del testador o facultades de contador-partidor: </w:t>
      </w:r>
      <w:r>
        <w:rPr>
          <w:rFonts w:ascii="Arial" w:hAnsi="Arial"/>
          <w:b/>
          <w:color w:val="397CDD"/>
          <w:sz w:val="20"/>
          <w:shd w:fill="E8F0FB"/>
        </w:rPr>
        <w:t>[DETALLE / NO CONSTA]</w:t>
      </w:r>
      <w:r>
        <w:rPr>
          <w:rFonts w:ascii="Arial" w:hAnsi="Arial"/>
          <w:color w:val="263A43"/>
          <w:sz w:val="20"/>
        </w:rPr>
        <w:t>.</w:t>
      </w:r>
    </w:p>
    <w:p>
      <w:pPr>
        <w:jc w:val="both"/>
      </w:pPr>
      <w:r>
        <w:rPr>
          <w:rFonts w:ascii="Arial" w:hAnsi="Arial"/>
          <w:color w:val="263A43"/>
          <w:sz w:val="20"/>
        </w:rPr>
        <w:t xml:space="preserve">Interesado 1: </w:t>
      </w:r>
      <w:r>
        <w:rPr>
          <w:rFonts w:ascii="Arial" w:hAnsi="Arial"/>
          <w:b/>
          <w:color w:val="397CDD"/>
          <w:sz w:val="20"/>
          <w:shd w:fill="E8F0FB"/>
        </w:rPr>
        <w:t>[NOMBRE, IDENTIFICACIÓN, DERECHO, CUOTA O ALCANCE, DOCUMENTO Y REPRESENTACIÓN]</w:t>
      </w:r>
      <w:r>
        <w:rPr>
          <w:rFonts w:ascii="Arial" w:hAnsi="Arial"/>
          <w:color w:val="263A43"/>
          <w:sz w:val="20"/>
        </w:rPr>
        <w:t>.</w:t>
      </w:r>
    </w:p>
    <w:p>
      <w:pPr>
        <w:jc w:val="both"/>
      </w:pPr>
      <w:r>
        <w:rPr>
          <w:rFonts w:ascii="Arial" w:hAnsi="Arial"/>
          <w:color w:val="263A43"/>
          <w:sz w:val="20"/>
        </w:rPr>
        <w:t xml:space="preserve">Interesado 2 y siguientes: </w:t>
      </w:r>
      <w:r>
        <w:rPr>
          <w:rFonts w:ascii="Arial" w:hAnsi="Arial"/>
          <w:b/>
          <w:color w:val="397CDD"/>
          <w:sz w:val="20"/>
          <w:shd w:fill="E8F0FB"/>
        </w:rPr>
        <w:t>[REPETIR POR TODOS LOS HEREDEROS, LEGITIMARIOS, CÓNYUGE, USUFRUCTUARIOS Y DEMÁS INTERVINIENTES NECESARIOS]</w:t>
      </w:r>
      <w:r>
        <w:rPr>
          <w:rFonts w:ascii="Arial" w:hAnsi="Arial"/>
          <w:color w:val="263A43"/>
          <w:sz w:val="20"/>
        </w:rPr>
        <w:t>.</w:t>
      </w:r>
    </w:p>
    <w:p>
      <w:pPr>
        <w:jc w:val="both"/>
      </w:pPr>
      <w:r>
        <w:rPr>
          <w:rFonts w:ascii="Arial" w:hAnsi="Arial"/>
          <w:color w:val="263A43"/>
          <w:sz w:val="20"/>
        </w:rPr>
        <w:t xml:space="preserve">Aceptación previa y responsabilidad: </w:t>
      </w:r>
      <w:r>
        <w:rPr>
          <w:rFonts w:ascii="Arial" w:hAnsi="Arial"/>
          <w:b/>
          <w:color w:val="397CDD"/>
          <w:sz w:val="20"/>
          <w:shd w:fill="E8F0FB"/>
        </w:rPr>
        <w:t>[ACTOS O DOCUMENTOS YA EXISTENTES Y REVISIÓN PENDIENTE]</w:t>
      </w:r>
      <w:r>
        <w:rPr>
          <w:rFonts w:ascii="Arial" w:hAnsi="Arial"/>
          <w:color w:val="263A43"/>
          <w:sz w:val="20"/>
        </w:rPr>
        <w:t>. No se formula aquí aceptación nueva de ninguna clase.</w:t>
      </w:r>
    </w:p>
    <w:p>
      <w:pPr>
        <w:pStyle w:val="Heading2"/>
      </w:pPr>
      <w:r>
        <w:t>II. INVENTARIO Y AVALÚO</w:t>
      </w:r>
    </w:p>
    <w:p>
      <w:pPr>
        <w:jc w:val="both"/>
      </w:pPr>
      <w:r>
        <w:rPr>
          <w:rFonts w:ascii="Arial" w:hAnsi="Arial"/>
          <w:color w:val="263A43"/>
          <w:sz w:val="20"/>
        </w:rPr>
        <w:t xml:space="preserve">Activo </w:t>
      </w:r>
      <w:r>
        <w:rPr>
          <w:rFonts w:ascii="Arial" w:hAnsi="Arial"/>
          <w:b/>
          <w:color w:val="397CDD"/>
          <w:sz w:val="20"/>
          <w:shd w:fill="E8F0FB"/>
        </w:rPr>
        <w:t>[A-01]</w:t>
      </w:r>
      <w:r>
        <w:rPr>
          <w:rFonts w:ascii="Arial" w:hAnsi="Arial"/>
          <w:color w:val="263A43"/>
          <w:sz w:val="20"/>
        </w:rPr>
        <w:t xml:space="preserve">: </w:t>
      </w:r>
      <w:r>
        <w:rPr>
          <w:rFonts w:ascii="Arial" w:hAnsi="Arial"/>
          <w:b/>
          <w:color w:val="397CDD"/>
          <w:sz w:val="20"/>
          <w:shd w:fill="E8F0FB"/>
        </w:rPr>
        <w:t>[DESCRIPCIÓN, TÍTULO, PARTICIPACIÓN DEL CAUSANTE Y DOCUMENTO]</w:t>
      </w:r>
      <w:r>
        <w:rPr>
          <w:rFonts w:ascii="Arial" w:hAnsi="Arial"/>
          <w:color w:val="263A43"/>
          <w:sz w:val="20"/>
        </w:rPr>
        <w:t xml:space="preserve">. Valor civil considerado: </w:t>
      </w:r>
      <w:r>
        <w:rPr>
          <w:rFonts w:ascii="Arial" w:hAnsi="Arial"/>
          <w:b/>
          <w:color w:val="397CDD"/>
          <w:sz w:val="20"/>
          <w:shd w:fill="E8F0FB"/>
        </w:rPr>
        <w:t>[IMPORTE]</w:t>
      </w:r>
      <w:r>
        <w:rPr>
          <w:rFonts w:ascii="Arial" w:hAnsi="Arial"/>
          <w:color w:val="263A43"/>
          <w:sz w:val="20"/>
        </w:rPr>
        <w:t xml:space="preserve">. Fecha y método: </w:t>
      </w:r>
      <w:r>
        <w:rPr>
          <w:rFonts w:ascii="Arial" w:hAnsi="Arial"/>
          <w:b/>
          <w:color w:val="397CDD"/>
          <w:sz w:val="20"/>
          <w:shd w:fill="E8F0FB"/>
        </w:rPr>
        <w:t>[DATOS]</w:t>
      </w:r>
      <w:r>
        <w:rPr>
          <w:rFonts w:ascii="Arial" w:hAnsi="Arial"/>
          <w:color w:val="263A43"/>
          <w:sz w:val="20"/>
        </w:rPr>
        <w:t xml:space="preserve">. Valor fiscal a comprobar: </w:t>
      </w:r>
      <w:r>
        <w:rPr>
          <w:rFonts w:ascii="Arial" w:hAnsi="Arial"/>
          <w:b/>
          <w:color w:val="397CDD"/>
          <w:sz w:val="20"/>
          <w:shd w:fill="E8F0FB"/>
        </w:rPr>
        <w:t>[DATO/FUENTE/PENDIENTE]</w:t>
      </w:r>
      <w:r>
        <w:rPr>
          <w:rFonts w:ascii="Arial" w:hAnsi="Arial"/>
          <w:color w:val="263A43"/>
          <w:sz w:val="20"/>
        </w:rPr>
        <w:t>.</w:t>
      </w:r>
    </w:p>
    <w:p>
      <w:pPr>
        <w:jc w:val="both"/>
      </w:pPr>
      <w:r>
        <w:rPr>
          <w:rFonts w:ascii="Arial" w:hAnsi="Arial"/>
          <w:color w:val="263A43"/>
          <w:sz w:val="20"/>
        </w:rPr>
        <w:t xml:space="preserve">Repetir para inmuebles, bancos, valores, créditos y muebles: </w:t>
      </w:r>
      <w:r>
        <w:rPr>
          <w:rFonts w:ascii="Arial" w:hAnsi="Arial"/>
          <w:b/>
          <w:color w:val="397CDD"/>
          <w:sz w:val="20"/>
          <w:shd w:fill="E8F0FB"/>
        </w:rPr>
        <w:t>[ACTIVOS ADICIONALES]</w:t>
      </w:r>
      <w:r>
        <w:rPr>
          <w:rFonts w:ascii="Arial" w:hAnsi="Arial"/>
          <w:color w:val="263A43"/>
          <w:sz w:val="20"/>
        </w:rPr>
        <w:t xml:space="preserve">. Total de activos atribuibles al caudal: </w:t>
      </w:r>
      <w:r>
        <w:rPr>
          <w:rFonts w:ascii="Arial" w:hAnsi="Arial"/>
          <w:b/>
          <w:color w:val="397CDD"/>
          <w:sz w:val="20"/>
          <w:shd w:fill="E8F0FB"/>
        </w:rPr>
        <w:t>[SUMA A]</w:t>
      </w:r>
      <w:r>
        <w:rPr>
          <w:rFonts w:ascii="Arial" w:hAnsi="Arial"/>
          <w:color w:val="263A43"/>
          <w:sz w:val="20"/>
        </w:rPr>
        <w:t>.</w:t>
      </w:r>
    </w:p>
    <w:p>
      <w:pPr>
        <w:jc w:val="both"/>
      </w:pPr>
      <w:r>
        <w:rPr>
          <w:rFonts w:ascii="Arial" w:hAnsi="Arial"/>
          <w:color w:val="263A43"/>
          <w:sz w:val="20"/>
        </w:rPr>
        <w:t xml:space="preserve">Pasivo </w:t>
      </w:r>
      <w:r>
        <w:rPr>
          <w:rFonts w:ascii="Arial" w:hAnsi="Arial"/>
          <w:b/>
          <w:color w:val="397CDD"/>
          <w:sz w:val="20"/>
          <w:shd w:fill="E8F0FB"/>
        </w:rPr>
        <w:t>[D-01]</w:t>
      </w:r>
      <w:r>
        <w:rPr>
          <w:rFonts w:ascii="Arial" w:hAnsi="Arial"/>
          <w:color w:val="263A43"/>
          <w:sz w:val="20"/>
        </w:rPr>
        <w:t xml:space="preserve">: </w:t>
      </w:r>
      <w:r>
        <w:rPr>
          <w:rFonts w:ascii="Arial" w:hAnsi="Arial"/>
          <w:b/>
          <w:color w:val="397CDD"/>
          <w:sz w:val="20"/>
          <w:shd w:fill="E8F0FB"/>
        </w:rPr>
        <w:t>[ACREEDOR, ORIGEN, SALDO, GARANTÍA Y DOCUMENTO]</w:t>
      </w:r>
      <w:r>
        <w:rPr>
          <w:rFonts w:ascii="Arial" w:hAnsi="Arial"/>
          <w:color w:val="263A43"/>
          <w:sz w:val="20"/>
        </w:rPr>
        <w:t xml:space="preserve">. Clasificación: </w:t>
      </w:r>
      <w:r>
        <w:rPr>
          <w:rFonts w:ascii="Arial" w:hAnsi="Arial"/>
          <w:b/>
          <w:color w:val="397CDD"/>
          <w:sz w:val="20"/>
          <w:shd w:fill="E8F0FB"/>
        </w:rPr>
        <w:t>[ACREDITADO / DISCUTIDO / CONTINGENTE]</w:t>
      </w:r>
      <w:r>
        <w:rPr>
          <w:rFonts w:ascii="Arial" w:hAnsi="Arial"/>
          <w:color w:val="263A43"/>
          <w:sz w:val="20"/>
        </w:rPr>
        <w:t xml:space="preserve">. Tratamiento en este borrador: </w:t>
      </w:r>
      <w:r>
        <w:rPr>
          <w:rFonts w:ascii="Arial" w:hAnsi="Arial"/>
          <w:b/>
          <w:color w:val="397CDD"/>
          <w:sz w:val="20"/>
          <w:shd w:fill="E8F0FB"/>
        </w:rPr>
        <w:t>[DETALLE]</w:t>
      </w:r>
      <w:r>
        <w:rPr>
          <w:rFonts w:ascii="Arial" w:hAnsi="Arial"/>
          <w:color w:val="263A43"/>
          <w:sz w:val="20"/>
        </w:rPr>
        <w:t>.</w:t>
      </w:r>
    </w:p>
    <w:p>
      <w:pPr>
        <w:jc w:val="both"/>
      </w:pPr>
      <w:r>
        <w:rPr>
          <w:rFonts w:ascii="Arial" w:hAnsi="Arial"/>
          <w:color w:val="263A43"/>
          <w:sz w:val="20"/>
        </w:rPr>
        <w:t xml:space="preserve">Repetir para cada deuda o carga: </w:t>
      </w:r>
      <w:r>
        <w:rPr>
          <w:rFonts w:ascii="Arial" w:hAnsi="Arial"/>
          <w:b/>
          <w:color w:val="397CDD"/>
          <w:sz w:val="20"/>
          <w:shd w:fill="E8F0FB"/>
        </w:rPr>
        <w:t>[PASIVOS ADICIONALES]</w:t>
      </w:r>
      <w:r>
        <w:rPr>
          <w:rFonts w:ascii="Arial" w:hAnsi="Arial"/>
          <w:color w:val="263A43"/>
          <w:sz w:val="20"/>
        </w:rPr>
        <w:t xml:space="preserve">. Total de pasivo deducido en esta fase: </w:t>
      </w:r>
      <w:r>
        <w:rPr>
          <w:rFonts w:ascii="Arial" w:hAnsi="Arial"/>
          <w:b/>
          <w:color w:val="397CDD"/>
          <w:sz w:val="20"/>
          <w:shd w:fill="E8F0FB"/>
        </w:rPr>
        <w:t>[SUMA B]</w:t>
      </w:r>
      <w:r>
        <w:rPr>
          <w:rFonts w:ascii="Arial" w:hAnsi="Arial"/>
          <w:color w:val="263A43"/>
          <w:sz w:val="20"/>
        </w:rPr>
        <w:t>.</w:t>
      </w:r>
    </w:p>
    <w:p>
      <w:pPr>
        <w:jc w:val="both"/>
      </w:pPr>
      <w:r>
        <w:rPr>
          <w:rFonts w:ascii="Arial" w:hAnsi="Arial"/>
          <w:color w:val="263A43"/>
          <w:sz w:val="20"/>
        </w:rPr>
        <w:t xml:space="preserve">Bienes o deudas excluidos y motivo: </w:t>
      </w:r>
      <w:r>
        <w:rPr>
          <w:rFonts w:ascii="Arial" w:hAnsi="Arial"/>
          <w:b/>
          <w:color w:val="397CDD"/>
          <w:sz w:val="20"/>
          <w:shd w:fill="E8F0FB"/>
        </w:rPr>
        <w:t>[RELACIÓN]</w:t>
      </w:r>
      <w:r>
        <w:rPr>
          <w:rFonts w:ascii="Arial" w:hAnsi="Arial"/>
          <w:color w:val="263A43"/>
          <w:sz w:val="20"/>
        </w:rPr>
        <w:t xml:space="preserve">. Contingencias no descontadas: </w:t>
      </w:r>
      <w:r>
        <w:rPr>
          <w:rFonts w:ascii="Arial" w:hAnsi="Arial"/>
          <w:b/>
          <w:color w:val="397CDD"/>
          <w:sz w:val="20"/>
          <w:shd w:fill="E8F0FB"/>
        </w:rPr>
        <w:t>[RELACIÓN E IMPACTO]</w:t>
      </w:r>
      <w:r>
        <w:rPr>
          <w:rFonts w:ascii="Arial" w:hAnsi="Arial"/>
          <w:color w:val="263A43"/>
          <w:sz w:val="20"/>
        </w:rPr>
        <w:t>.</w:t>
      </w:r>
    </w:p>
    <w:p>
      <w:pPr>
        <w:pStyle w:val="Heading2"/>
      </w:pPr>
      <w:r>
        <w:t>III. LIQUIDACIÓN Y DETERMINACIÓN DEL CAUDAL PARTIBLE</w:t>
      </w:r>
    </w:p>
    <w:p>
      <w:pPr>
        <w:jc w:val="both"/>
      </w:pPr>
      <w:r>
        <w:rPr>
          <w:rFonts w:ascii="Arial" w:hAnsi="Arial"/>
          <w:color w:val="263A43"/>
          <w:sz w:val="20"/>
        </w:rPr>
        <w:t xml:space="preserve">Activos A: </w:t>
      </w:r>
      <w:r>
        <w:rPr>
          <w:rFonts w:ascii="Arial" w:hAnsi="Arial"/>
          <w:b/>
          <w:color w:val="397CDD"/>
          <w:sz w:val="20"/>
          <w:shd w:fill="E8F0FB"/>
        </w:rPr>
        <w:t>[IMPORTE]</w:t>
      </w:r>
      <w:r>
        <w:rPr>
          <w:rFonts w:ascii="Arial" w:hAnsi="Arial"/>
          <w:color w:val="263A43"/>
          <w:sz w:val="20"/>
        </w:rPr>
        <w:t xml:space="preserve">. Pasivo B: </w:t>
      </w:r>
      <w:r>
        <w:rPr>
          <w:rFonts w:ascii="Arial" w:hAnsi="Arial"/>
          <w:b/>
          <w:color w:val="397CDD"/>
          <w:sz w:val="20"/>
          <w:shd w:fill="E8F0FB"/>
        </w:rPr>
        <w:t>[IMPORTE]</w:t>
      </w:r>
      <w:r>
        <w:rPr>
          <w:rFonts w:ascii="Arial" w:hAnsi="Arial"/>
          <w:color w:val="263A43"/>
          <w:sz w:val="20"/>
        </w:rPr>
        <w:t xml:space="preserve">. Neto antes de ajustes A menos B: </w:t>
      </w:r>
      <w:r>
        <w:rPr>
          <w:rFonts w:ascii="Arial" w:hAnsi="Arial"/>
          <w:b/>
          <w:color w:val="397CDD"/>
          <w:sz w:val="20"/>
          <w:shd w:fill="E8F0FB"/>
        </w:rPr>
        <w:t>[CÁLCULO]</w:t>
      </w:r>
      <w:r>
        <w:rPr>
          <w:rFonts w:ascii="Arial" w:hAnsi="Arial"/>
          <w:color w:val="263A43"/>
          <w:sz w:val="20"/>
        </w:rPr>
        <w:t>.</w:t>
      </w:r>
    </w:p>
    <w:p>
      <w:pPr>
        <w:jc w:val="both"/>
      </w:pPr>
      <w:r>
        <w:rPr>
          <w:rFonts w:ascii="Arial" w:hAnsi="Arial"/>
          <w:color w:val="263A43"/>
          <w:sz w:val="20"/>
        </w:rPr>
        <w:t xml:space="preserve">Legados, cargas, gastos y reservas considerados: </w:t>
      </w:r>
      <w:r>
        <w:rPr>
          <w:rFonts w:ascii="Arial" w:hAnsi="Arial"/>
          <w:b/>
          <w:color w:val="397CDD"/>
          <w:sz w:val="20"/>
          <w:shd w:fill="E8F0FB"/>
        </w:rPr>
        <w:t>[CONCEPTO, IMPORTE Y FASE EN QUE SE DESCUENTAN, SIN DUPLICIDAD]</w:t>
      </w:r>
      <w:r>
        <w:rPr>
          <w:rFonts w:ascii="Arial" w:hAnsi="Arial"/>
          <w:color w:val="263A43"/>
          <w:sz w:val="20"/>
        </w:rPr>
        <w:t>.</w:t>
      </w:r>
    </w:p>
    <w:p>
      <w:pPr>
        <w:jc w:val="both"/>
      </w:pPr>
      <w:r>
        <w:rPr>
          <w:rFonts w:ascii="Arial" w:hAnsi="Arial"/>
          <w:color w:val="263A43"/>
          <w:sz w:val="20"/>
        </w:rPr>
        <w:t xml:space="preserve">Donaciones, colación e imputaciones: </w:t>
      </w:r>
      <w:r>
        <w:rPr>
          <w:rFonts w:ascii="Arial" w:hAnsi="Arial"/>
          <w:b/>
          <w:color w:val="397CDD"/>
          <w:sz w:val="20"/>
          <w:shd w:fill="E8F0FB"/>
        </w:rPr>
        <w:t>[OPERACIONES Y FUNDAMENTO REVISADOS]</w:t>
      </w:r>
      <w:r>
        <w:rPr>
          <w:rFonts w:ascii="Arial" w:hAnsi="Arial"/>
          <w:color w:val="263A43"/>
          <w:sz w:val="20"/>
        </w:rPr>
        <w:t xml:space="preserve">. Derechos legitimarios y del cónyuge: </w:t>
      </w:r>
      <w:r>
        <w:rPr>
          <w:rFonts w:ascii="Arial" w:hAnsi="Arial"/>
          <w:b/>
          <w:color w:val="397CDD"/>
          <w:sz w:val="20"/>
          <w:shd w:fill="E8F0FB"/>
        </w:rPr>
        <w:t>[TRATAMIENTO Y DOCUMENTO DE CÁLCULO]</w:t>
      </w:r>
      <w:r>
        <w:rPr>
          <w:rFonts w:ascii="Arial" w:hAnsi="Arial"/>
          <w:color w:val="263A43"/>
          <w:sz w:val="20"/>
        </w:rPr>
        <w:t>.</w:t>
      </w:r>
    </w:p>
    <w:p>
      <w:pPr>
        <w:jc w:val="both"/>
      </w:pPr>
      <w:r>
        <w:rPr>
          <w:rFonts w:ascii="Arial" w:hAnsi="Arial"/>
          <w:color w:val="263A43"/>
          <w:sz w:val="20"/>
        </w:rPr>
        <w:t xml:space="preserve">Caudal finalmente utilizado para distribuir lotes: </w:t>
      </w:r>
      <w:r>
        <w:rPr>
          <w:rFonts w:ascii="Arial" w:hAnsi="Arial"/>
          <w:b/>
          <w:color w:val="397CDD"/>
          <w:sz w:val="20"/>
          <w:shd w:fill="E8F0FB"/>
        </w:rPr>
        <w:t>[IMPORTE C]</w:t>
      </w:r>
      <w:r>
        <w:rPr>
          <w:rFonts w:ascii="Arial" w:hAnsi="Arial"/>
          <w:color w:val="263A43"/>
          <w:sz w:val="20"/>
        </w:rPr>
        <w:t xml:space="preserve">. Operaciones que llevan a C: </w:t>
      </w:r>
      <w:r>
        <w:rPr>
          <w:rFonts w:ascii="Arial" w:hAnsi="Arial"/>
          <w:b/>
          <w:color w:val="397CDD"/>
          <w:sz w:val="20"/>
          <w:shd w:fill="E8F0FB"/>
        </w:rPr>
        <w:t>[DESGLOSE COMPLETO]</w:t>
      </w:r>
      <w:r>
        <w:rPr>
          <w:rFonts w:ascii="Arial" w:hAnsi="Arial"/>
          <w:color w:val="263A43"/>
          <w:sz w:val="20"/>
        </w:rPr>
        <w:t xml:space="preserve">. Cuestiones que impiden cerrarlo: </w:t>
      </w:r>
      <w:r>
        <w:rPr>
          <w:rFonts w:ascii="Arial" w:hAnsi="Arial"/>
          <w:b/>
          <w:color w:val="397CDD"/>
          <w:sz w:val="20"/>
          <w:shd w:fill="E8F0FB"/>
        </w:rPr>
        <w:t>[RELACIÓN / NINGUNA TRAS REVISIÓN]</w:t>
      </w:r>
      <w:r>
        <w:rPr>
          <w:rFonts w:ascii="Arial" w:hAnsi="Arial"/>
          <w:color w:val="263A43"/>
          <w:sz w:val="20"/>
        </w:rPr>
        <w:t>.</w:t>
      </w:r>
    </w:p>
    <w:p>
      <w:pPr>
        <w:pStyle w:val="Heading2"/>
      </w:pPr>
      <w:r>
        <w:t>IV. DERECHOS TEÓRICOS Y LOTES PROPUESTOS</w:t>
      </w:r>
    </w:p>
    <w:p>
      <w:pPr>
        <w:jc w:val="both"/>
      </w:pPr>
      <w:r>
        <w:rPr>
          <w:rFonts w:ascii="Arial" w:hAnsi="Arial"/>
          <w:color w:val="263A43"/>
          <w:sz w:val="20"/>
        </w:rPr>
        <w:t xml:space="preserve">Interesado </w:t>
      </w:r>
      <w:r>
        <w:rPr>
          <w:rFonts w:ascii="Arial" w:hAnsi="Arial"/>
          <w:b/>
          <w:color w:val="397CDD"/>
          <w:sz w:val="20"/>
          <w:shd w:fill="E8F0FB"/>
        </w:rPr>
        <w:t>[NOMBRE]</w:t>
      </w:r>
      <w:r>
        <w:rPr>
          <w:rFonts w:ascii="Arial" w:hAnsi="Arial"/>
          <w:color w:val="263A43"/>
          <w:sz w:val="20"/>
        </w:rPr>
        <w:t xml:space="preserve">: derecho o cuota conforme al título y ajustes </w:t>
      </w:r>
      <w:r>
        <w:rPr>
          <w:rFonts w:ascii="Arial" w:hAnsi="Arial"/>
          <w:b/>
          <w:color w:val="397CDD"/>
          <w:sz w:val="20"/>
          <w:shd w:fill="E8F0FB"/>
        </w:rPr>
        <w:t>[DESCRIPCIÓN]</w:t>
      </w:r>
      <w:r>
        <w:rPr>
          <w:rFonts w:ascii="Arial" w:hAnsi="Arial"/>
          <w:color w:val="263A43"/>
          <w:sz w:val="20"/>
        </w:rPr>
        <w:t xml:space="preserve">; valor teórico </w:t>
      </w:r>
      <w:r>
        <w:rPr>
          <w:rFonts w:ascii="Arial" w:hAnsi="Arial"/>
          <w:b/>
          <w:color w:val="397CDD"/>
          <w:sz w:val="20"/>
          <w:shd w:fill="E8F0FB"/>
        </w:rPr>
        <w:t>[IMPORTE T]</w:t>
      </w:r>
      <w:r>
        <w:rPr>
          <w:rFonts w:ascii="Arial" w:hAnsi="Arial"/>
          <w:color w:val="263A43"/>
          <w:sz w:val="20"/>
        </w:rPr>
        <w:t>.</w:t>
      </w:r>
    </w:p>
    <w:p>
      <w:pPr>
        <w:jc w:val="both"/>
      </w:pPr>
      <w:r>
        <w:rPr>
          <w:rFonts w:ascii="Arial" w:hAnsi="Arial"/>
          <w:color w:val="263A43"/>
          <w:sz w:val="20"/>
        </w:rPr>
        <w:t xml:space="preserve">Lote propuesto: </w:t>
      </w:r>
      <w:r>
        <w:rPr>
          <w:rFonts w:ascii="Arial" w:hAnsi="Arial"/>
          <w:b/>
          <w:color w:val="397CDD"/>
          <w:sz w:val="20"/>
          <w:shd w:fill="E8F0FB"/>
        </w:rPr>
        <w:t>[ACTIVO, PARTICIPACIÓN Y VALOR POR CADA ELEMENTO]</w:t>
      </w:r>
      <w:r>
        <w:rPr>
          <w:rFonts w:ascii="Arial" w:hAnsi="Arial"/>
          <w:color w:val="263A43"/>
          <w:sz w:val="20"/>
        </w:rPr>
        <w:t xml:space="preserve">. Valor bruto del lote </w:t>
      </w:r>
      <w:r>
        <w:rPr>
          <w:rFonts w:ascii="Arial" w:hAnsi="Arial"/>
          <w:b/>
          <w:color w:val="397CDD"/>
          <w:sz w:val="20"/>
          <w:shd w:fill="E8F0FB"/>
        </w:rPr>
        <w:t>[IMPORTE]</w:t>
      </w:r>
      <w:r>
        <w:rPr>
          <w:rFonts w:ascii="Arial" w:hAnsi="Arial"/>
          <w:color w:val="263A43"/>
          <w:sz w:val="20"/>
        </w:rPr>
        <w:t xml:space="preserve">. Pasivo interno imputado </w:t>
      </w:r>
      <w:r>
        <w:rPr>
          <w:rFonts w:ascii="Arial" w:hAnsi="Arial"/>
          <w:b/>
          <w:color w:val="397CDD"/>
          <w:sz w:val="20"/>
          <w:shd w:fill="E8F0FB"/>
        </w:rPr>
        <w:t>[IMPORTE Y CONCEPTO, SIN LIBERACIÓN FRENTE A ACREEDORES]</w:t>
      </w:r>
      <w:r>
        <w:rPr>
          <w:rFonts w:ascii="Arial" w:hAnsi="Arial"/>
          <w:color w:val="263A43"/>
          <w:sz w:val="20"/>
        </w:rPr>
        <w:t xml:space="preserve">. Valor neto del lote </w:t>
      </w:r>
      <w:r>
        <w:rPr>
          <w:rFonts w:ascii="Arial" w:hAnsi="Arial"/>
          <w:b/>
          <w:color w:val="397CDD"/>
          <w:sz w:val="20"/>
          <w:shd w:fill="E8F0FB"/>
        </w:rPr>
        <w:t>[IMPORTE L]</w:t>
      </w:r>
      <w:r>
        <w:rPr>
          <w:rFonts w:ascii="Arial" w:hAnsi="Arial"/>
          <w:color w:val="263A43"/>
          <w:sz w:val="20"/>
        </w:rPr>
        <w:t>.</w:t>
      </w:r>
    </w:p>
    <w:p>
      <w:pPr>
        <w:jc w:val="both"/>
      </w:pPr>
      <w:r>
        <w:rPr>
          <w:rFonts w:ascii="Arial" w:hAnsi="Arial"/>
          <w:color w:val="263A43"/>
          <w:sz w:val="20"/>
        </w:rPr>
        <w:t xml:space="preserve">Diferencia L menos T: </w:t>
      </w:r>
      <w:r>
        <w:rPr>
          <w:rFonts w:ascii="Arial" w:hAnsi="Arial"/>
          <w:b/>
          <w:color w:val="397CDD"/>
          <w:sz w:val="20"/>
          <w:shd w:fill="E8F0FB"/>
        </w:rPr>
        <w:t>[IMPORTE]</w:t>
      </w:r>
      <w:r>
        <w:rPr>
          <w:rFonts w:ascii="Arial" w:hAnsi="Arial"/>
          <w:color w:val="263A43"/>
          <w:sz w:val="20"/>
        </w:rPr>
        <w:t xml:space="preserve">. Compensación propuesta: </w:t>
      </w:r>
      <w:r>
        <w:rPr>
          <w:rFonts w:ascii="Arial" w:hAnsi="Arial"/>
          <w:b/>
          <w:color w:val="397CDD"/>
          <w:sz w:val="20"/>
          <w:shd w:fill="E8F0FB"/>
        </w:rPr>
        <w:t>[PAGA / RECIBE]</w:t>
      </w:r>
      <w:r>
        <w:rPr>
          <w:rFonts w:ascii="Arial" w:hAnsi="Arial"/>
          <w:color w:val="263A43"/>
          <w:sz w:val="20"/>
        </w:rPr>
        <w:t xml:space="preserve">, de </w:t>
      </w:r>
      <w:r>
        <w:rPr>
          <w:rFonts w:ascii="Arial" w:hAnsi="Arial"/>
          <w:b/>
          <w:color w:val="397CDD"/>
          <w:sz w:val="20"/>
          <w:shd w:fill="E8F0FB"/>
        </w:rPr>
        <w:t>[PERSONA]</w:t>
      </w:r>
      <w:r>
        <w:rPr>
          <w:rFonts w:ascii="Arial" w:hAnsi="Arial"/>
          <w:color w:val="263A43"/>
          <w:sz w:val="20"/>
        </w:rPr>
        <w:t xml:space="preserve">, por </w:t>
      </w:r>
      <w:r>
        <w:rPr>
          <w:rFonts w:ascii="Arial" w:hAnsi="Arial"/>
          <w:b/>
          <w:color w:val="397CDD"/>
          <w:sz w:val="20"/>
          <w:shd w:fill="E8F0FB"/>
        </w:rPr>
        <w:t>[IMPORTE]</w:t>
      </w:r>
      <w:r>
        <w:rPr>
          <w:rFonts w:ascii="Arial" w:hAnsi="Arial"/>
          <w:color w:val="263A43"/>
          <w:sz w:val="20"/>
        </w:rPr>
        <w:t xml:space="preserve">, con medio y disponibilidad de financiación </w:t>
      </w:r>
      <w:r>
        <w:rPr>
          <w:rFonts w:ascii="Arial" w:hAnsi="Arial"/>
          <w:b/>
          <w:color w:val="397CDD"/>
          <w:sz w:val="20"/>
          <w:shd w:fill="E8F0FB"/>
        </w:rPr>
        <w:t>[DATOS PENDIENTES]</w:t>
      </w:r>
      <w:r>
        <w:rPr>
          <w:rFonts w:ascii="Arial" w:hAnsi="Arial"/>
          <w:color w:val="263A43"/>
          <w:sz w:val="20"/>
        </w:rPr>
        <w:t>.</w:t>
      </w:r>
    </w:p>
    <w:p>
      <w:pPr>
        <w:jc w:val="both"/>
      </w:pPr>
      <w:r>
        <w:rPr>
          <w:rFonts w:ascii="Arial" w:hAnsi="Arial"/>
          <w:color w:val="263A43"/>
          <w:sz w:val="20"/>
        </w:rPr>
        <w:t xml:space="preserve">Repetir el bloque para todos los interesados: </w:t>
      </w:r>
      <w:r>
        <w:rPr>
          <w:rFonts w:ascii="Arial" w:hAnsi="Arial"/>
          <w:b/>
          <w:color w:val="397CDD"/>
          <w:sz w:val="20"/>
          <w:shd w:fill="E8F0FB"/>
        </w:rPr>
        <w:t>[LOTES ADICIONALES]</w:t>
      </w:r>
      <w:r>
        <w:rPr>
          <w:rFonts w:ascii="Arial" w:hAnsi="Arial"/>
          <w:color w:val="263A43"/>
          <w:sz w:val="20"/>
        </w:rPr>
        <w:t>.</w:t>
      </w:r>
    </w:p>
    <w:p>
      <w:pPr>
        <w:jc w:val="both"/>
      </w:pPr>
      <w:r>
        <w:rPr>
          <w:rFonts w:ascii="Arial" w:hAnsi="Arial"/>
          <w:color w:val="263A43"/>
          <w:sz w:val="20"/>
        </w:rPr>
        <w:t xml:space="preserve">Bien indivisible: </w:t>
      </w:r>
      <w:r>
        <w:rPr>
          <w:rFonts w:ascii="Arial" w:hAnsi="Arial"/>
          <w:b/>
          <w:color w:val="397CDD"/>
          <w:sz w:val="20"/>
          <w:shd w:fill="E8F0FB"/>
        </w:rPr>
        <w:t>[IDENTIFICADOR]</w:t>
      </w:r>
      <w:r>
        <w:rPr>
          <w:rFonts w:ascii="Arial" w:hAnsi="Arial"/>
          <w:color w:val="263A43"/>
          <w:sz w:val="20"/>
        </w:rPr>
        <w:t xml:space="preserve">. Solución propuesta y conformidades necesarias: </w:t>
      </w:r>
      <w:r>
        <w:rPr>
          <w:rFonts w:ascii="Arial" w:hAnsi="Arial"/>
          <w:b/>
          <w:color w:val="397CDD"/>
          <w:sz w:val="20"/>
          <w:shd w:fill="E8F0FB"/>
        </w:rPr>
        <w:t>[DETALLE]</w:t>
      </w:r>
      <w:r>
        <w:rPr>
          <w:rFonts w:ascii="Arial" w:hAnsi="Arial"/>
          <w:color w:val="263A43"/>
          <w:sz w:val="20"/>
        </w:rPr>
        <w:t>. No queda autorizada una venta, entrega posesoria o compensación por este borrador.</w:t>
      </w:r>
    </w:p>
    <w:p>
      <w:pPr>
        <w:pStyle w:val="Heading2"/>
      </w:pPr>
      <w:r>
        <w:t>V. CONTROL DE CUADRE</w:t>
      </w:r>
    </w:p>
    <w:p>
      <w:pPr>
        <w:jc w:val="both"/>
      </w:pPr>
      <w:r>
        <w:rPr>
          <w:rFonts w:ascii="Arial" w:hAnsi="Arial"/>
          <w:color w:val="263A43"/>
          <w:sz w:val="20"/>
        </w:rPr>
        <w:t xml:space="preserve">Suma de valores teóricos de los derechos que se distribuyen: </w:t>
      </w:r>
      <w:r>
        <w:rPr>
          <w:rFonts w:ascii="Arial" w:hAnsi="Arial"/>
          <w:b/>
          <w:color w:val="397CDD"/>
          <w:sz w:val="20"/>
          <w:shd w:fill="E8F0FB"/>
        </w:rPr>
        <w:t>[TOTAL]</w:t>
      </w:r>
      <w:r>
        <w:rPr>
          <w:rFonts w:ascii="Arial" w:hAnsi="Arial"/>
          <w:color w:val="263A43"/>
          <w:sz w:val="20"/>
        </w:rPr>
        <w:t xml:space="preserve">. Coincidencia con C: </w:t>
      </w:r>
      <w:r>
        <w:rPr>
          <w:rFonts w:ascii="Arial" w:hAnsi="Arial"/>
          <w:b/>
          <w:color w:val="397CDD"/>
          <w:sz w:val="20"/>
          <w:shd w:fill="E8F0FB"/>
        </w:rPr>
        <w:t>[SÍ / NO; EXPLICAR]</w:t>
      </w:r>
      <w:r>
        <w:rPr>
          <w:rFonts w:ascii="Arial" w:hAnsi="Arial"/>
          <w:color w:val="263A43"/>
          <w:sz w:val="20"/>
        </w:rPr>
        <w:t>.</w:t>
      </w:r>
    </w:p>
    <w:p>
      <w:pPr>
        <w:jc w:val="both"/>
      </w:pPr>
      <w:r>
        <w:rPr>
          <w:rFonts w:ascii="Arial" w:hAnsi="Arial"/>
          <w:color w:val="263A43"/>
          <w:sz w:val="20"/>
        </w:rPr>
        <w:t xml:space="preserve">Suma de valores netos de lotes: </w:t>
      </w:r>
      <w:r>
        <w:rPr>
          <w:rFonts w:ascii="Arial" w:hAnsi="Arial"/>
          <w:b/>
          <w:color w:val="397CDD"/>
          <w:sz w:val="20"/>
          <w:shd w:fill="E8F0FB"/>
        </w:rPr>
        <w:t>[TOTAL]</w:t>
      </w:r>
      <w:r>
        <w:rPr>
          <w:rFonts w:ascii="Arial" w:hAnsi="Arial"/>
          <w:color w:val="263A43"/>
          <w:sz w:val="20"/>
        </w:rPr>
        <w:t xml:space="preserve">. Diferencia con C: </w:t>
      </w:r>
      <w:r>
        <w:rPr>
          <w:rFonts w:ascii="Arial" w:hAnsi="Arial"/>
          <w:b/>
          <w:color w:val="397CDD"/>
          <w:sz w:val="20"/>
          <w:shd w:fill="E8F0FB"/>
        </w:rPr>
        <w:t>[CERO / IMPORTE Y MOTIVO A CORREGIR]</w:t>
      </w:r>
      <w:r>
        <w:rPr>
          <w:rFonts w:ascii="Arial" w:hAnsi="Arial"/>
          <w:color w:val="263A43"/>
          <w:sz w:val="20"/>
        </w:rPr>
        <w:t>.</w:t>
      </w:r>
    </w:p>
    <w:p>
      <w:pPr>
        <w:jc w:val="both"/>
      </w:pPr>
      <w:r>
        <w:rPr>
          <w:rFonts w:ascii="Arial" w:hAnsi="Arial"/>
          <w:color w:val="263A43"/>
          <w:sz w:val="20"/>
        </w:rPr>
        <w:t xml:space="preserve">Total de compensaciones a pagar: </w:t>
      </w:r>
      <w:r>
        <w:rPr>
          <w:rFonts w:ascii="Arial" w:hAnsi="Arial"/>
          <w:b/>
          <w:color w:val="397CDD"/>
          <w:sz w:val="20"/>
          <w:shd w:fill="E8F0FB"/>
        </w:rPr>
        <w:t>[IMPORTE]</w:t>
      </w:r>
      <w:r>
        <w:rPr>
          <w:rFonts w:ascii="Arial" w:hAnsi="Arial"/>
          <w:color w:val="263A43"/>
          <w:sz w:val="20"/>
        </w:rPr>
        <w:t xml:space="preserve">. Total a recibir: </w:t>
      </w:r>
      <w:r>
        <w:rPr>
          <w:rFonts w:ascii="Arial" w:hAnsi="Arial"/>
          <w:b/>
          <w:color w:val="397CDD"/>
          <w:sz w:val="20"/>
          <w:shd w:fill="E8F0FB"/>
        </w:rPr>
        <w:t>[IMPORTE]</w:t>
      </w:r>
      <w:r>
        <w:rPr>
          <w:rFonts w:ascii="Arial" w:hAnsi="Arial"/>
          <w:color w:val="263A43"/>
          <w:sz w:val="20"/>
        </w:rPr>
        <w:t xml:space="preserve">. Diferencia: </w:t>
      </w:r>
      <w:r>
        <w:rPr>
          <w:rFonts w:ascii="Arial" w:hAnsi="Arial"/>
          <w:b/>
          <w:color w:val="397CDD"/>
          <w:sz w:val="20"/>
          <w:shd w:fill="E8F0FB"/>
        </w:rPr>
        <w:t>[DEBE SER CERO]</w:t>
      </w:r>
      <w:r>
        <w:rPr>
          <w:rFonts w:ascii="Arial" w:hAnsi="Arial"/>
          <w:color w:val="263A43"/>
          <w:sz w:val="20"/>
        </w:rPr>
        <w:t>.</w:t>
      </w:r>
    </w:p>
    <w:p>
      <w:pPr>
        <w:jc w:val="both"/>
      </w:pPr>
      <w:r>
        <w:rPr>
          <w:rFonts w:ascii="Arial" w:hAnsi="Arial"/>
          <w:color w:val="263A43"/>
          <w:sz w:val="20"/>
        </w:rPr>
        <w:t xml:space="preserve">Revisión de bienes repetidos, pasivos duplicados, legitimarios, usufructos y contingencias: </w:t>
      </w:r>
      <w:r>
        <w:rPr>
          <w:rFonts w:ascii="Arial" w:hAnsi="Arial"/>
          <w:b/>
          <w:color w:val="397CDD"/>
          <w:sz w:val="20"/>
          <w:shd w:fill="E8F0FB"/>
        </w:rPr>
        <w:t>[RESULTADO Y RESPONSABLE]</w:t>
      </w:r>
      <w:r>
        <w:rPr>
          <w:rFonts w:ascii="Arial" w:hAnsi="Arial"/>
          <w:color w:val="263A43"/>
          <w:sz w:val="20"/>
        </w:rPr>
        <w:t>.</w:t>
      </w:r>
    </w:p>
    <w:p>
      <w:pPr>
        <w:pStyle w:val="Heading2"/>
      </w:pPr>
      <w:r>
        <w:t>VI. FORMALIZACIÓN, REGISTRO Y FISCALIDAD PENDIENTES</w:t>
      </w:r>
    </w:p>
    <w:p>
      <w:pPr>
        <w:jc w:val="both"/>
      </w:pPr>
      <w:r>
        <w:rPr>
          <w:rFonts w:ascii="Arial" w:hAnsi="Arial"/>
          <w:color w:val="263A43"/>
          <w:sz w:val="20"/>
        </w:rPr>
        <w:t xml:space="preserve">Documento definitivo que procede: </w:t>
      </w:r>
      <w:r>
        <w:rPr>
          <w:rFonts w:ascii="Arial" w:hAnsi="Arial"/>
          <w:b/>
          <w:color w:val="397CDD"/>
          <w:sz w:val="20"/>
          <w:shd w:fill="E8F0FB"/>
        </w:rPr>
        <w:t>[ESCRITURA / DOCUMENTO PRIVADO REVISADO / ACTUACIÓN JUDICIAL / OTRO TÍTULO ADECUADO]</w:t>
      </w:r>
      <w:r>
        <w:rPr>
          <w:rFonts w:ascii="Arial" w:hAnsi="Arial"/>
          <w:color w:val="263A43"/>
          <w:sz w:val="20"/>
        </w:rPr>
        <w:t xml:space="preserve">. Motivo y profesional responsable: </w:t>
      </w:r>
      <w:r>
        <w:rPr>
          <w:rFonts w:ascii="Arial" w:hAnsi="Arial"/>
          <w:b/>
          <w:color w:val="397CDD"/>
          <w:sz w:val="20"/>
          <w:shd w:fill="E8F0FB"/>
        </w:rPr>
        <w:t>[DATOS]</w:t>
      </w:r>
      <w:r>
        <w:rPr>
          <w:rFonts w:ascii="Arial" w:hAnsi="Arial"/>
          <w:color w:val="263A43"/>
          <w:sz w:val="20"/>
        </w:rPr>
        <w:t>.</w:t>
      </w:r>
    </w:p>
    <w:p>
      <w:pPr>
        <w:jc w:val="both"/>
      </w:pPr>
      <w:r>
        <w:rPr>
          <w:rFonts w:ascii="Arial" w:hAnsi="Arial"/>
          <w:color w:val="263A43"/>
          <w:sz w:val="20"/>
        </w:rPr>
        <w:t xml:space="preserve">Actos que requieren notario: </w:t>
      </w:r>
      <w:r>
        <w:rPr>
          <w:rFonts w:ascii="Arial" w:hAnsi="Arial"/>
          <w:b/>
          <w:color w:val="397CDD"/>
          <w:sz w:val="20"/>
          <w:shd w:fill="E8F0FB"/>
        </w:rPr>
        <w:t>[IDENTIFICAR, SIN SUSTITUIR REPUDIACIÓN NI BENEFICIO DE INVENTARIO]</w:t>
      </w:r>
      <w:r>
        <w:rPr>
          <w:rFonts w:ascii="Arial" w:hAnsi="Arial"/>
          <w:color w:val="263A43"/>
          <w:sz w:val="20"/>
        </w:rPr>
        <w:t xml:space="preserve">. Inscripción registral y requisitos pendientes: </w:t>
      </w:r>
      <w:r>
        <w:rPr>
          <w:rFonts w:ascii="Arial" w:hAnsi="Arial"/>
          <w:b/>
          <w:color w:val="397CDD"/>
          <w:sz w:val="20"/>
          <w:shd w:fill="E8F0FB"/>
        </w:rPr>
        <w:t>[FINCAS, TÍTULO Y DOCUMENTOS]</w:t>
      </w:r>
      <w:r>
        <w:rPr>
          <w:rFonts w:ascii="Arial" w:hAnsi="Arial"/>
          <w:color w:val="263A43"/>
          <w:sz w:val="20"/>
        </w:rPr>
        <w:t>.</w:t>
      </w:r>
    </w:p>
    <w:p>
      <w:pPr>
        <w:jc w:val="both"/>
      </w:pPr>
      <w:r>
        <w:rPr>
          <w:rFonts w:ascii="Arial" w:hAnsi="Arial"/>
          <w:color w:val="263A43"/>
          <w:sz w:val="20"/>
        </w:rPr>
        <w:t xml:space="preserve">ISD: </w:t>
      </w:r>
      <w:r>
        <w:rPr>
          <w:rFonts w:ascii="Arial" w:hAnsi="Arial"/>
          <w:b/>
          <w:color w:val="397CDD"/>
          <w:sz w:val="20"/>
          <w:shd w:fill="E8F0FB"/>
        </w:rPr>
        <w:t>[ADMINISTRACIÓN COMPETENTE, PLAZO COMPROBADO, PRÓRROGA SOLICITADA/CONCEDIDA Y MODELO OFICIAL A UTILIZAR]</w:t>
      </w:r>
      <w:r>
        <w:rPr>
          <w:rFonts w:ascii="Arial" w:hAnsi="Arial"/>
          <w:color w:val="263A43"/>
          <w:sz w:val="20"/>
        </w:rPr>
        <w:t>.</w:t>
      </w:r>
    </w:p>
    <w:p>
      <w:pPr>
        <w:jc w:val="both"/>
      </w:pPr>
      <w:r>
        <w:rPr>
          <w:rFonts w:ascii="Arial" w:hAnsi="Arial"/>
          <w:color w:val="263A43"/>
          <w:sz w:val="20"/>
        </w:rPr>
        <w:t xml:space="preserve">IIVTNU y otros efectos fiscales, incluidos excesos de adjudicación: </w:t>
      </w:r>
      <w:r>
        <w:rPr>
          <w:rFonts w:ascii="Arial" w:hAnsi="Arial"/>
          <w:b/>
          <w:color w:val="397CDD"/>
          <w:sz w:val="20"/>
          <w:shd w:fill="E8F0FB"/>
        </w:rPr>
        <w:t>[COMPROBACIÓN, ADMINISTRACIÓN Y FECHAS]</w:t>
      </w:r>
      <w:r>
        <w:rPr>
          <w:rFonts w:ascii="Arial" w:hAnsi="Arial"/>
          <w:color w:val="263A43"/>
          <w:sz w:val="20"/>
        </w:rPr>
        <w:t>. No presumir sujeción o exención sin análisis.</w:t>
      </w:r>
    </w:p>
    <w:p>
      <w:pPr>
        <w:jc w:val="both"/>
      </w:pPr>
      <w:r>
        <w:rPr>
          <w:rFonts w:ascii="Arial" w:hAnsi="Arial"/>
          <w:color w:val="263A43"/>
          <w:sz w:val="20"/>
        </w:rPr>
        <w:t xml:space="preserve">Documentación bancaria definitiva necesaria: </w:t>
      </w:r>
      <w:r>
        <w:rPr>
          <w:rFonts w:ascii="Arial" w:hAnsi="Arial"/>
          <w:b/>
          <w:color w:val="397CDD"/>
          <w:sz w:val="20"/>
          <w:shd w:fill="E8F0FB"/>
        </w:rPr>
        <w:t>[RELACIÓN]</w:t>
      </w:r>
      <w:r>
        <w:rPr>
          <w:rFonts w:ascii="Arial" w:hAnsi="Arial"/>
          <w:color w:val="263A43"/>
          <w:sz w:val="20"/>
        </w:rPr>
        <w:t xml:space="preserve">. Entregas, cancelaciones de garantías y consentimiento de acreedores pendientes: </w:t>
      </w:r>
      <w:r>
        <w:rPr>
          <w:rFonts w:ascii="Arial" w:hAnsi="Arial"/>
          <w:b/>
          <w:color w:val="397CDD"/>
          <w:sz w:val="20"/>
          <w:shd w:fill="E8F0FB"/>
        </w:rPr>
        <w:t>[RELACIÓN]</w:t>
      </w:r>
      <w:r>
        <w:rPr>
          <w:rFonts w:ascii="Arial" w:hAnsi="Arial"/>
          <w:color w:val="263A43"/>
          <w:sz w:val="20"/>
        </w:rPr>
        <w:t>.</w:t>
      </w:r>
    </w:p>
    <w:p>
      <w:pPr>
        <w:pStyle w:val="Heading2"/>
      </w:pPr>
      <w:r>
        <w:t>VII. CIERRE DE LA REVISIÓN</w:t>
      </w:r>
    </w:p>
    <w:p>
      <w:pPr>
        <w:jc w:val="both"/>
      </w:pPr>
      <w:r>
        <w:rPr>
          <w:rFonts w:ascii="Arial" w:hAnsi="Arial"/>
          <w:color w:val="263A43"/>
          <w:sz w:val="20"/>
        </w:rPr>
        <w:t xml:space="preserve">Cuestiones jurídicas pendientes: </w:t>
      </w:r>
      <w:r>
        <w:rPr>
          <w:rFonts w:ascii="Arial" w:hAnsi="Arial"/>
          <w:b/>
          <w:color w:val="397CDD"/>
          <w:sz w:val="20"/>
          <w:shd w:fill="E8F0FB"/>
        </w:rPr>
        <w:t>[RELACIÓN]</w:t>
      </w:r>
      <w:r>
        <w:rPr>
          <w:rFonts w:ascii="Arial" w:hAnsi="Arial"/>
          <w:color w:val="263A43"/>
          <w:sz w:val="20"/>
        </w:rPr>
        <w:t xml:space="preserve">. Cuestiones documentales o aritméticas pendientes: </w:t>
      </w:r>
      <w:r>
        <w:rPr>
          <w:rFonts w:ascii="Arial" w:hAnsi="Arial"/>
          <w:b/>
          <w:color w:val="397CDD"/>
          <w:sz w:val="20"/>
          <w:shd w:fill="E8F0FB"/>
        </w:rPr>
        <w:t>[RELACIÓN]</w:t>
      </w:r>
      <w:r>
        <w:rPr>
          <w:rFonts w:ascii="Arial" w:hAnsi="Arial"/>
          <w:color w:val="263A43"/>
          <w:sz w:val="20"/>
        </w:rPr>
        <w:t>.</w:t>
      </w:r>
    </w:p>
    <w:p>
      <w:pPr>
        <w:jc w:val="both"/>
      </w:pPr>
      <w:r>
        <w:rPr>
          <w:rFonts w:ascii="Arial" w:hAnsi="Arial"/>
          <w:color w:val="263A43"/>
          <w:sz w:val="20"/>
        </w:rPr>
        <w:t xml:space="preserve">Profesional que revisará la versión definitiva: </w:t>
      </w:r>
      <w:r>
        <w:rPr>
          <w:rFonts w:ascii="Arial" w:hAnsi="Arial"/>
          <w:b/>
          <w:color w:val="397CDD"/>
          <w:sz w:val="20"/>
          <w:shd w:fill="E8F0FB"/>
        </w:rPr>
        <w:t>[NOMBRE Y FUNCIÓN]</w:t>
      </w:r>
      <w:r>
        <w:rPr>
          <w:rFonts w:ascii="Arial" w:hAnsi="Arial"/>
          <w:color w:val="263A43"/>
          <w:sz w:val="20"/>
        </w:rPr>
        <w:t xml:space="preserve">. Fecha de revisión prevista: </w:t>
      </w:r>
      <w:r>
        <w:rPr>
          <w:rFonts w:ascii="Arial" w:hAnsi="Arial"/>
          <w:b/>
          <w:color w:val="397CDD"/>
          <w:sz w:val="20"/>
          <w:shd w:fill="E8F0FB"/>
        </w:rPr>
        <w:t>[FECHA]</w:t>
      </w:r>
      <w:r>
        <w:rPr>
          <w:rFonts w:ascii="Arial" w:hAnsi="Arial"/>
          <w:color w:val="263A43"/>
          <w:sz w:val="20"/>
        </w:rPr>
        <w:t>.</w:t>
      </w:r>
    </w:p>
    <w:p>
      <w:pPr>
        <w:jc w:val="both"/>
      </w:pPr>
      <w:r>
        <w:rPr>
          <w:rFonts w:ascii="Arial" w:hAnsi="Arial"/>
          <w:color w:val="263A43"/>
          <w:sz w:val="20"/>
        </w:rPr>
        <w:t>Este cuaderno no contiene firmas de adjudicación, declaración de aceptación, renuncia o saldo y finiquito. La operación vinculante se redactará y formalizará separadamente una vez resueltas las comprobaciones.</w:t>
      </w:r>
    </w:p>
    <w:p>
      <w:r>
        <w:br w:type="page"/>
      </w:r>
    </w:p>
    <w:p>
      <w:pPr>
        <w:pStyle w:val="Heading1"/>
        <w:jc w:val="center"/>
      </w:pPr>
      <w:r>
        <w:t>GUÍA DE REVISIÓN · NO ADJUNTAR AL ESCRITO</w:t>
      </w:r>
    </w:p>
    <w:p>
      <w:pPr>
        <w:jc w:val="both"/>
      </w:pPr>
      <w:r>
        <w:rPr>
          <w:rFonts w:ascii="Arial" w:hAnsi="Arial"/>
          <w:color w:val="263A43"/>
          <w:sz w:val="20"/>
        </w:rPr>
        <w:t>Cuaderno de trabajo con inventario, avalúo, liquidación y lotes propuestos para preparar una partición sencilla con revisión profesional.</w:t>
      </w:r>
    </w:p>
    <w:p>
      <w:pPr>
        <w:pStyle w:val="Heading1"/>
      </w:pPr>
      <w:r>
        <w:t>Advertencia principal</w:t>
      </w:r>
    </w:p>
    <w:p>
      <w:pPr>
        <w:jc w:val="both"/>
      </w:pPr>
      <w:r>
        <w:rPr>
          <w:rFonts w:ascii="Arial" w:hAnsi="Arial"/>
          <w:color w:val="263A43"/>
          <w:sz w:val="20"/>
        </w:rPr>
        <w:t>Se ofrece deliberadamente como borrador sin firmas de adjudicación. Un cuaderno privado definitivo puede producir efectos y la partición puede implicar aceptación; se entrega como documento de trabajo y no como título listo para firmar o presentar. Este recurso no sustituye la repudiación notarial ni la declaración y el inventario necesarios para el beneficio de inventario. En Derecho común, la aceptación pura y simple puede ser expresa en documento público o privado, o tácita por los actos realizados; una cláusula de reserva no neutraliza un acto que jurídicamente implique aceptación.</w:t>
      </w:r>
    </w:p>
    <w:p>
      <w:pPr>
        <w:jc w:val="both"/>
      </w:pPr>
      <w:r>
        <w:rPr>
          <w:rFonts w:ascii="Arial" w:hAnsi="Arial"/>
          <w:color w:val="263A43"/>
          <w:sz w:val="20"/>
        </w:rPr>
        <w:t>Criterio de uso: Alternativa segura al cuaderno privado listo para firmar: borrador completo de operaciones, sin aceptación ni adjudicación ejecutable.</w:t>
      </w:r>
    </w:p>
    <w:p>
      <w:pPr>
        <w:pStyle w:val="Heading1"/>
      </w:pPr>
      <w:r>
        <w:t>Finalidad</w:t>
      </w:r>
    </w:p>
    <w:p>
      <w:pPr>
        <w:jc w:val="both"/>
      </w:pPr>
      <w:r>
        <w:rPr>
          <w:rFonts w:ascii="Arial" w:hAnsi="Arial"/>
          <w:color w:val="263A43"/>
          <w:sz w:val="20"/>
        </w:rPr>
        <w:t>Ordenar las operaciones y comprobar que los lotes, derechos y compensaciones cuadran antes de redactar y formalizar la partición definitiva.</w:t>
      </w:r>
    </w:p>
    <w:p>
      <w:pPr>
        <w:pStyle w:val="Heading1"/>
      </w:pPr>
      <w:r>
        <w:t>Para qué no sirve</w:t>
      </w:r>
    </w:p>
    <w:p>
      <w:pPr>
        <w:jc w:val="both"/>
      </w:pPr>
      <w:r>
        <w:rPr>
          <w:rFonts w:ascii="Arial" w:hAnsi="Arial"/>
          <w:color w:val="263A43"/>
          <w:sz w:val="20"/>
        </w:rPr>
        <w:t>No es aceptación, repudiación, beneficio de inventario, escritura, título registral ni documento de adjudicación listo para firmar o presentar al banco.</w:t>
      </w:r>
    </w:p>
    <w:p>
      <w:pPr>
        <w:pStyle w:val="Heading1"/>
      </w:pPr>
      <w:r>
        <w:t>Instrucciones de uso</w:t>
      </w:r>
    </w:p>
    <w:p>
      <w:r>
        <w:rPr>
          <w:rFonts w:ascii="Arial" w:hAnsi="Arial"/>
          <w:color w:val="263A43"/>
          <w:sz w:val="20"/>
        </w:rPr>
        <w:t>1. Supuesto de trabajo: sucesión sencilla, patrimonio y deudas identificados, todos los interesados correctamente determinados y sin controversia. Verifique si existe partición del testador o contador-partidor con facultades que deban respetarse.</w:t>
      </w:r>
    </w:p>
    <w:p>
      <w:r>
        <w:rPr>
          <w:rFonts w:ascii="Arial" w:hAnsi="Arial"/>
          <w:color w:val="263A43"/>
          <w:sz w:val="20"/>
        </w:rPr>
        <w:t>2. El abogado o notario debe comprobar ley sucesoria, legitimarios, régimen matrimonial, representación, aceptación y deudas antes de cerrar. Los casos con menores, apoyos, conflicto de intereses o elementos internacionales quedan fuera del uso simplificado.</w:t>
      </w:r>
    </w:p>
    <w:p>
      <w:r>
        <w:rPr>
          <w:rFonts w:ascii="Arial" w:hAnsi="Arial"/>
          <w:color w:val="263A43"/>
          <w:sz w:val="20"/>
        </w:rPr>
        <w:t>3. Complete identificación y título, inventario y valoración, liquidación, cálculo de derechos, lotes y compensaciones. No duplique pasivos o legados: identifique cómo se han computado en cada fase.</w:t>
      </w:r>
    </w:p>
    <w:p>
      <w:r>
        <w:rPr>
          <w:rFonts w:ascii="Arial" w:hAnsi="Arial"/>
          <w:color w:val="263A43"/>
          <w:sz w:val="20"/>
        </w:rPr>
        <w:t>4. Compruebe que la suma de valores netos de lotes coincide con el caudal partible, y que las compensaciones a pagar y a recibir cuadran. No ejecute el borrador ni firme cláusulas de aceptación o saldo definitivo.</w:t>
      </w:r>
    </w:p>
    <w:p>
      <w:r>
        <w:rPr>
          <w:rFonts w:ascii="Arial" w:hAnsi="Arial"/>
          <w:color w:val="263A43"/>
          <w:sz w:val="20"/>
        </w:rPr>
        <w:t>5. La partición privada puede ser civilmente válida en determinados supuestos de Derecho común, especialmente el artículo 1058; no toda aceptación exige notario. Sin embargo, la repudiación exige instrumento público notarial y el beneficio de inventario, declaración ante notario y sus requisitos propios.</w:t>
      </w:r>
    </w:p>
    <w:p>
      <w:r>
        <w:rPr>
          <w:rFonts w:ascii="Arial" w:hAnsi="Arial"/>
          <w:color w:val="263A43"/>
          <w:sz w:val="20"/>
        </w:rPr>
        <w:t>6. Para inscribir adjudicaciones inmobiliarias, la regla de los artículos 3 y 14 LH exige el título público adecuado, con excepciones legales como ciertos supuestos de heredero único. La necesidad concreta de notario y registro no se decide solo por el nombre «cuaderno privado».</w:t>
      </w:r>
    </w:p>
    <w:p>
      <w:r>
        <w:rPr>
          <w:rFonts w:ascii="Arial" w:hAnsi="Arial"/>
          <w:color w:val="263A43"/>
          <w:sz w:val="20"/>
        </w:rPr>
        <w:t>7. La fiscalidad existe aunque no haya escritura. Utilice los modelos oficiales de la Administración competente; este cuaderno no es una autoliquidación ni sustituye sus formularios. La aceptación de documentación privada por una entidad bancaria no convierte este borrador en título definitivo. Compruebe la ley sucesoria aplicable: la vecindad civil no equivale sin más al domicilio. El Código Civil común no regula de manera uniforme todas las sucesiones en España. Las especialidades civiles territoriales y las sucesiones internacionales requieren adaptación; no deduzca la ley aplicable solo de dónde está el inmueble.</w:t>
      </w:r>
    </w:p>
    <w:p>
      <w:pPr>
        <w:pStyle w:val="Heading1"/>
      </w:pPr>
      <w:r>
        <w:t>Documentos que debe reunir</w:t>
      </w:r>
    </w:p>
    <w:p>
      <w:r>
        <w:rPr>
          <w:rFonts w:ascii="Arial" w:hAnsi="Arial"/>
          <w:color w:val="263A43"/>
          <w:sz w:val="20"/>
        </w:rPr>
        <w:t>1. Defunción, últimas voluntades y título sucesorio completo.</w:t>
      </w:r>
    </w:p>
    <w:p>
      <w:r>
        <w:rPr>
          <w:rFonts w:ascii="Arial" w:hAnsi="Arial"/>
          <w:color w:val="263A43"/>
          <w:sz w:val="20"/>
        </w:rPr>
        <w:t>2. Identificación, parentesco, régimen matrimonial y facultades de todos los interesados.</w:t>
      </w:r>
    </w:p>
    <w:p>
      <w:r>
        <w:rPr>
          <w:rFonts w:ascii="Arial" w:hAnsi="Arial"/>
          <w:color w:val="263A43"/>
          <w:sz w:val="20"/>
        </w:rPr>
        <w:t>3. Acreditación de aceptación previa o decisión notarial pendiente; no introducirla de forma inadvertida.</w:t>
      </w:r>
    </w:p>
    <w:p>
      <w:r>
        <w:rPr>
          <w:rFonts w:ascii="Arial" w:hAnsi="Arial"/>
          <w:color w:val="263A43"/>
          <w:sz w:val="20"/>
        </w:rPr>
        <w:t>4. Inventario, valoraciones, cargas, deudas, legados, donaciones e imputaciones relevantes.</w:t>
      </w:r>
    </w:p>
    <w:p>
      <w:r>
        <w:rPr>
          <w:rFonts w:ascii="Arial" w:hAnsi="Arial"/>
          <w:color w:val="263A43"/>
          <w:sz w:val="20"/>
        </w:rPr>
        <w:t>5. Títulos registrales y documentación fiscal territorial necesaria; justificantes de pagos y compensaciones previstos.</w:t>
      </w:r>
    </w:p>
    <w:p>
      <w:pPr>
        <w:pStyle w:val="Heading1"/>
      </w:pPr>
      <w:r>
        <w:t>Errores que debe evitar</w:t>
      </w:r>
    </w:p>
    <w:p>
      <w:r>
        <w:rPr>
          <w:rFonts w:ascii="Arial" w:hAnsi="Arial"/>
          <w:color w:val="263A43"/>
          <w:sz w:val="20"/>
        </w:rPr>
        <w:t>1. Firmar este borrador como aceptación, adjudicación o finiquito.</w:t>
      </w:r>
    </w:p>
    <w:p>
      <w:r>
        <w:rPr>
          <w:rFonts w:ascii="Arial" w:hAnsi="Arial"/>
          <w:color w:val="263A43"/>
          <w:sz w:val="20"/>
        </w:rPr>
        <w:t>2. Suponer que una escritura es siempre necesaria para la validez civil o, al contrario, que un documento privado siempre basta para inscribir.</w:t>
      </w:r>
    </w:p>
    <w:p>
      <w:r>
        <w:rPr>
          <w:rFonts w:ascii="Arial" w:hAnsi="Arial"/>
          <w:color w:val="263A43"/>
          <w:sz w:val="20"/>
        </w:rPr>
        <w:t>3. Omitir al cónyuge, legitimarios, acreedores o facultades del contador-partidor.</w:t>
      </w:r>
    </w:p>
    <w:p>
      <w:r>
        <w:rPr>
          <w:rFonts w:ascii="Arial" w:hAnsi="Arial"/>
          <w:color w:val="263A43"/>
          <w:sz w:val="20"/>
        </w:rPr>
        <w:t>4. Confundir inventario privado con limitación de responsabilidad hereditaria.</w:t>
      </w:r>
    </w:p>
    <w:p>
      <w:r>
        <w:rPr>
          <w:rFonts w:ascii="Arial" w:hAnsi="Arial"/>
          <w:color w:val="263A43"/>
          <w:sz w:val="20"/>
        </w:rPr>
        <w:t>5. Omitir impuestos por no acudir al notario o no revisar excesos de adjudicación.</w:t>
      </w:r>
    </w:p>
    <w:p>
      <w:pPr>
        <w:pStyle w:val="Heading1"/>
      </w:pPr>
      <w:r>
        <w:t>Cuándo acudir a un profesional</w:t>
      </w:r>
    </w:p>
    <w:p>
      <w:pPr>
        <w:jc w:val="both"/>
      </w:pPr>
      <w:r>
        <w:rPr>
          <w:rFonts w:ascii="Arial" w:hAnsi="Arial"/>
          <w:color w:val="263A43"/>
          <w:sz w:val="20"/>
        </w:rPr>
        <w:t>Intervención profesional necesaria antes de convertirlo en partición vinculante. Notario en los actos legalmente reservados y formalización pública adecuada; registro para publicidad e inscripción de derechos conforme a su régimen. Abogado ante cualquier discrepancia o complejidad; procurador en los procesos judiciales que lo exijan. Las medidas de apoyo no equivalen por sí solas a incapacidad para partir: se examina su contenido y las reglas aplicables.</w:t>
      </w:r>
    </w:p>
    <w:p>
      <w:pPr>
        <w:pStyle w:val="Heading1"/>
      </w:pPr>
      <w:r>
        <w:t>Plazos y presentación</w:t>
      </w:r>
    </w:p>
    <w:p>
      <w:pPr>
        <w:jc w:val="both"/>
      </w:pPr>
      <w:r>
        <w:rPr>
          <w:rFonts w:ascii="Arial" w:hAnsi="Arial"/>
          <w:color w:val="263A43"/>
          <w:sz w:val="20"/>
        </w:rPr>
        <w:t>En el régimen general del Reglamento del ISD, el plazo sucesorio es de seis meses desde el fallecimiento y la prórroga se solicita dentro de los cinco primeros meses. Compruebe Administración competente, normativa territorial y requisitos. La negociación privada no amplía por sí sola estos plazos. Para transmisiones mortis causa de terrenos urbanos sujetas al régimen común del IIVTNU, el artículo 110.2.b TRLRHL prevé seis meses, prorrogables hasta un año a solicitud; compruebe sujeción, ordenanza y normativa territorial. Este borrador no cumple declaraciones fiscales ni modifica sus plazos.</w:t>
      </w:r>
    </w:p>
    <w:p>
      <w:pPr>
        <w:pStyle w:val="Heading1"/>
      </w:pPr>
      <w:r>
        <w:t>Trámite o formulario oficial</w:t>
      </w:r>
    </w:p>
    <w:p>
      <w:pPr>
        <w:jc w:val="both"/>
      </w:pPr>
      <w:r>
        <w:rPr>
          <w:rFonts w:ascii="Arial" w:hAnsi="Arial"/>
          <w:color w:val="263A43"/>
          <w:sz w:val="20"/>
        </w:rPr>
        <w:t>Referencia fiscal complementaria: modelo oficial estatal 650 solo cuando la competencia corresponda a la AEAT. En los demás casos, modelo oficial de la Administración territorial competente; el cuaderno no sustituye ninguno.</w:t>
      </w:r>
    </w:p>
    <w:p>
      <w:pPr>
        <w:jc w:val="both"/>
      </w:pPr>
      <w:r>
        <w:rPr>
          <w:rFonts w:ascii="Arial" w:hAnsi="Arial"/>
          <w:color w:val="263A43"/>
          <w:sz w:val="20"/>
        </w:rPr>
        <w:t>Abrir recurso oficial — https://sede.agenciatributaria.gob.es/Sede/procedimientoini/G702.shtml</w:t>
      </w:r>
    </w:p>
    <w:p>
      <w:pPr>
        <w:pStyle w:val="Heading1"/>
      </w:pPr>
      <w:r>
        <w:t>Fuentes oficiales verificadas</w:t>
      </w:r>
    </w:p>
    <w:p>
      <w:pPr>
        <w:jc w:val="both"/>
      </w:pPr>
      <w:r>
        <w:rPr>
          <w:rFonts w:ascii="Arial" w:hAnsi="Arial"/>
          <w:color w:val="263A43"/>
          <w:sz w:val="20"/>
        </w:rPr>
        <w:t>Revisión documental y normativa a 13/09/2026. No equivale a revisión de un caso concreto ni a formulario oficial aprobado por una Administración.</w:t>
      </w:r>
    </w:p>
    <w:p>
      <w:r>
        <w:rPr>
          <w:rFonts w:ascii="Arial" w:hAnsi="Arial"/>
          <w:color w:val="263A43"/>
          <w:sz w:val="20"/>
        </w:rPr>
        <w:t>1. Código Civil — https://www.boe.es/buscar/act.php?id=BOE-A-1889-4763 — BOE. Arts. 9.8, 14 y 16: ley sucesoria y vecindad civil; arts. 999, 1003, 1008 y 1011-1018: aceptación, responsabilidad, repudiación e inventario. Verificación: 2026-09-13.</w:t>
      </w:r>
    </w:p>
    <w:p>
      <w:r>
        <w:rPr>
          <w:rFonts w:ascii="Arial" w:hAnsi="Arial"/>
          <w:color w:val="263A43"/>
          <w:sz w:val="20"/>
        </w:rPr>
        <w:t>2. Código Civil — https://www.boe.es/buscar/act.php?id=BOE-A-1889-4763 — BOE. Arts. 1056-1062: partición del testador, contador, acuerdo, representación, apoyos y bienes indivisibles. Verificación: 2026-09-13.</w:t>
      </w:r>
    </w:p>
    <w:p>
      <w:r>
        <w:rPr>
          <w:rFonts w:ascii="Arial" w:hAnsi="Arial"/>
          <w:color w:val="263A43"/>
          <w:sz w:val="20"/>
        </w:rPr>
        <w:t>3. Ley Hipotecaria — https://www.boe.es/buscar/act.php?id=BOE-A-1946-2453 — BOE. Arts. 3 y 14: forma del título para acceso registral y excepción de heredero único bajo requisitos. Verificación: 2026-09-13.</w:t>
      </w:r>
    </w:p>
    <w:p>
      <w:r>
        <w:rPr>
          <w:rFonts w:ascii="Arial" w:hAnsi="Arial"/>
          <w:color w:val="263A43"/>
          <w:sz w:val="20"/>
        </w:rPr>
        <w:t>4. Real Decreto 1629/1991, Reglamento del Impuesto sobre Sucesiones y Donaciones — https://www.boe.es/buscar/act.php?id=BOE-A-1991-27678 — BOE. Arts. 67-69: presentación, prórroga y reglas del régimen general. Verificación: 2026-09-13.</w:t>
      </w:r>
    </w:p>
    <w:p>
      <w:r>
        <w:rPr>
          <w:rFonts w:ascii="Arial" w:hAnsi="Arial"/>
          <w:color w:val="263A43"/>
          <w:sz w:val="20"/>
        </w:rPr>
        <w:t>5. Real Decreto Legislativo 2/2004, Ley Reguladora de las Haciendas Locales — https://www.boe.es/buscar/act.php?id=BOE-A-2004-4214 — BOE. Art. 110.2.b: plazo de declaración mortis causa del IIVTNU en el régimen común. Verificación: 2026-09-13.</w:t>
      </w:r>
    </w:p>
    <w:p>
      <w:r>
        <w:rPr>
          <w:rFonts w:ascii="Arial" w:hAnsi="Arial"/>
          <w:color w:val="263A43"/>
          <w:sz w:val="20"/>
        </w:rPr>
        <w:t>6. Reglamento (UE) 650/2012, sucesiones internacionales — https://eur-lex.europa.eu/legal-content/ES/TXT/?uri=CELEX:32012R0650 — EUR-Lex, Unión Europea. Arts. 20-23 y 36: sucesiones internacionales. Verificación: 2026-09-13.</w:t>
      </w:r>
    </w:p>
    <w:p>
      <w:r>
        <w:rPr>
          <w:rFonts w:ascii="Arial" w:hAnsi="Arial"/>
          <w:color w:val="263A43"/>
          <w:sz w:val="20"/>
        </w:rPr>
        <w:t>7. Modelo 650 y delimitación de competencias tributarias Estado/comunidades autónomas y forales — https://sede.agenciatributaria.gob.es/Sede/procedimientoini/G702.shtml — Agencia Tributaria. Acceso al formulario oficial estatal y a la delimitación de competencias. El formulario estatal no se presenta como universal para toda España. Verificación: 2026-09-13.</w:t>
      </w:r>
    </w:p>
    <w:p>
      <w:r>
        <w:rPr>
          <w:rFonts w:ascii="Arial" w:hAnsi="Arial"/>
          <w:i/>
          <w:color w:val="68777D"/>
          <w:sz w:val="16"/>
        </w:rPr>
        <w:t>Revisión documental: 13 de septiembre de 2026. Comprueba vigencia, competencia, procedimiento y plazo en la fecha de uso.</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Georgia" w:hAnsi="Georgia"/>
      <w:b/>
      <w:bCs/>
      <w:color w:val="102E3C"/>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Georgia" w:hAnsi="Georgia"/>
      <w:b/>
      <w:bCs/>
      <w:color w:val="102E3C"/>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80"/>
      <w:contextualSpacing/>
    </w:pPr>
    <w:rPr>
      <w:rFonts w:asciiTheme="majorHAnsi" w:eastAsiaTheme="majorEastAsia" w:hAnsiTheme="majorHAnsi" w:cstheme="majorBidi" w:ascii="Georgia" w:hAnsi="Georgia"/>
      <w:b/>
      <w:color w:val="102E3C"/>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Modelo jurídico editable de Pérez &amp; Burgos Abogados</dc:description>
  <cp:lastModifiedBy/>
  <cp:revision>1</cp:revision>
  <dcterms:created xsi:type="dcterms:W3CDTF">2013-12-23T23:15:00Z</dcterms:created>
  <dcterms:modified xsi:type="dcterms:W3CDTF">2013-12-23T23:15:00Z</dcterms:modified>
  <cp:category/>
</cp:coreProperties>
</file>