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  <w:jc w:val="center"/>
      </w:pPr>
      <w:r>
        <w:rPr>
          <w:rFonts w:ascii="Arial" w:hAnsi="Arial"/>
          <w:b/>
          <w:color w:val="397CDD"/>
          <w:sz w:val="16"/>
        </w:rPr>
        <w:t>FAMILIA Y ACUERDOS PRIVADOS</w:t>
      </w:r>
    </w:p>
    <w:p>
      <w:pPr>
        <w:keepNext/>
        <w:spacing w:after="120"/>
        <w:jc w:val="center"/>
      </w:pPr>
      <w:r>
        <w:rPr>
          <w:rFonts w:ascii="Georgia" w:hAnsi="Georgia"/>
          <w:b/>
          <w:color w:val="17233C"/>
          <w:sz w:val="42"/>
        </w:rPr>
        <w:t>Convenio regulador de divorcio sin hijos</w:t>
      </w:r>
    </w:p>
    <w:p>
      <w:pPr>
        <w:spacing w:after="240"/>
        <w:jc w:val="center"/>
      </w:pPr>
      <w:r>
        <w:rPr>
          <w:rFonts w:ascii="Arial" w:hAnsi="Arial"/>
          <w:color w:val="667085"/>
          <w:sz w:val="21"/>
        </w:rPr>
        <w:t>Modelo para divorcio o separación de mutuo acuerdo sin hijos menores dependientes.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F5F0E8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GUÍA DE USO · NO FORMA PARTE DEL ESCRITO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Documento editable y orientativo. Sustituye todos los campos azules y elimina las alternativas que no correspondan.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Comprueba destinatario, procedimiento, plazo, hechos, documentos y forma de presentación. Un modelo no determina por sí solo la estrategia ni interrumpe automáticamente ningún plazo.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Destinatario habitual: Juzgado, Letrado de la Administración de Justicia o notaría competente.</w:t>
            </w:r>
          </w:p>
        </w:tc>
      </w:tr>
    </w:tbl>
    <w:p>
      <w:pPr>
        <w:spacing w:after="0"/>
      </w:pPr>
    </w:p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BORRADOR EDITABLE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DESDE AQUÍ COMIENZA EL TEXTO DEL DOCUMENTO</w:t>
      </w:r>
    </w:p>
    <w:p>
      <w:pPr>
        <w:pStyle w:val="Heading2"/>
      </w:pPr>
      <w:r>
        <w:t>Comparecientes</w:t>
      </w:r>
    </w:p>
    <w:p>
      <w:pPr>
        <w:jc w:val="both"/>
      </w:pPr>
      <w:r>
        <w:rPr>
          <w:rFonts w:ascii="Arial" w:hAnsi="Arial"/>
          <w:b/>
          <w:color w:val="397CDD"/>
          <w:shd w:fill="E5EFFC"/>
        </w:rPr>
        <w:t>{{CONYUGE_A}}</w:t>
      </w:r>
      <w:r>
        <w:rPr>
          <w:rFonts w:ascii="Arial" w:hAnsi="Arial"/>
        </w:rPr>
        <w:t xml:space="preserve">, con DNI/NIE </w:t>
      </w:r>
      <w:r>
        <w:rPr>
          <w:rFonts w:ascii="Arial" w:hAnsi="Arial"/>
          <w:b/>
          <w:color w:val="397CDD"/>
          <w:shd w:fill="E5EFFC"/>
        </w:rPr>
        <w:t>{{DNI_A}}</w:t>
      </w:r>
      <w:r>
        <w:rPr>
          <w:rFonts w:ascii="Arial" w:hAnsi="Arial"/>
        </w:rPr>
        <w:t xml:space="preserve">, y </w:t>
      </w:r>
      <w:r>
        <w:rPr>
          <w:rFonts w:ascii="Arial" w:hAnsi="Arial"/>
          <w:b/>
          <w:color w:val="397CDD"/>
          <w:shd w:fill="E5EFFC"/>
        </w:rPr>
        <w:t>{{CONYUGE_B}}</w:t>
      </w:r>
      <w:r>
        <w:rPr>
          <w:rFonts w:ascii="Arial" w:hAnsi="Arial"/>
        </w:rPr>
        <w:t xml:space="preserve">, con DNI/NIE </w:t>
      </w:r>
      <w:r>
        <w:rPr>
          <w:rFonts w:ascii="Arial" w:hAnsi="Arial"/>
          <w:b/>
          <w:color w:val="397CDD"/>
          <w:shd w:fill="E5EFFC"/>
        </w:rPr>
        <w:t>{{DNI_B}}</w:t>
      </w:r>
      <w:r>
        <w:rPr>
          <w:rFonts w:ascii="Arial" w:hAnsi="Arial"/>
        </w:rPr>
        <w:t>, manifiestan su voluntad inequívoca de divorciarse de mutuo acuerdo.</w:t>
      </w:r>
    </w:p>
    <w:p>
      <w:pPr>
        <w:pStyle w:val="Heading2"/>
      </w:pPr>
      <w:r>
        <w:t>Vivienda y ajuar</w:t>
      </w:r>
    </w:p>
    <w:p>
      <w:pPr>
        <w:jc w:val="both"/>
      </w:pPr>
      <w:r>
        <w:rPr>
          <w:rFonts w:ascii="Arial" w:hAnsi="Arial"/>
        </w:rPr>
        <w:t xml:space="preserve">El uso de la vivienda situada en </w:t>
      </w:r>
      <w:r>
        <w:rPr>
          <w:rFonts w:ascii="Arial" w:hAnsi="Arial"/>
          <w:b/>
          <w:color w:val="397CDD"/>
          <w:shd w:fill="E5EFFC"/>
        </w:rPr>
        <w:t>{{VIVIENDA}}</w:t>
      </w:r>
      <w:r>
        <w:rPr>
          <w:rFonts w:ascii="Arial" w:hAnsi="Arial"/>
        </w:rPr>
        <w:t xml:space="preserve"> se atribuye a </w:t>
      </w:r>
      <w:r>
        <w:rPr>
          <w:rFonts w:ascii="Arial" w:hAnsi="Arial"/>
          <w:b/>
          <w:color w:val="397CDD"/>
          <w:shd w:fill="E5EFFC"/>
        </w:rPr>
        <w:t>{{USUARIO_VIVIENDA}}</w:t>
      </w:r>
      <w:r>
        <w:rPr>
          <w:rFonts w:ascii="Arial" w:hAnsi="Arial"/>
        </w:rPr>
        <w:t xml:space="preserve"> hasta </w:t>
      </w:r>
      <w:r>
        <w:rPr>
          <w:rFonts w:ascii="Arial" w:hAnsi="Arial"/>
          <w:b/>
          <w:color w:val="397CDD"/>
          <w:shd w:fill="E5EFFC"/>
        </w:rPr>
        <w:t>{{LIMITE_USO}}</w:t>
      </w:r>
      <w:r>
        <w:rPr>
          <w:rFonts w:ascii="Arial" w:hAnsi="Arial"/>
        </w:rPr>
        <w:t>. El ajuar se distribuye conforme al inventario anexo.</w:t>
      </w:r>
    </w:p>
    <w:p>
      <w:pPr>
        <w:pStyle w:val="Heading2"/>
      </w:pPr>
      <w:r>
        <w:t>Cargas y deudas</w:t>
      </w:r>
    </w:p>
    <w:p>
      <w:pPr>
        <w:jc w:val="both"/>
      </w:pPr>
      <w:r>
        <w:rPr>
          <w:rFonts w:ascii="Arial" w:hAnsi="Arial"/>
        </w:rPr>
        <w:t xml:space="preserve">Las cuotas de </w:t>
      </w:r>
      <w:r>
        <w:rPr>
          <w:rFonts w:ascii="Arial" w:hAnsi="Arial"/>
          <w:b/>
          <w:color w:val="397CDD"/>
          <w:shd w:fill="E5EFFC"/>
        </w:rPr>
        <w:t>{{PRESTAMOS_CARGAS}}</w:t>
      </w:r>
      <w:r>
        <w:rPr>
          <w:rFonts w:ascii="Arial" w:hAnsi="Arial"/>
        </w:rPr>
        <w:t xml:space="preserve"> se atenderán del siguiente modo: </w:t>
      </w:r>
      <w:r>
        <w:rPr>
          <w:rFonts w:ascii="Arial" w:hAnsi="Arial"/>
          <w:b/>
          <w:color w:val="397CDD"/>
          <w:shd w:fill="E5EFFC"/>
        </w:rPr>
        <w:t>{{REPARTO_CARGAS}}</w:t>
      </w:r>
      <w:r>
        <w:rPr>
          <w:rFonts w:ascii="Arial" w:hAnsi="Arial"/>
        </w:rPr>
        <w:t>. Este pacto interno no altera por sí solo la responsabilidad frente a acreedores.</w:t>
      </w:r>
    </w:p>
    <w:p>
      <w:pPr>
        <w:pStyle w:val="Heading2"/>
      </w:pPr>
      <w:r>
        <w:t>Pensión compensatoria</w:t>
      </w:r>
    </w:p>
    <w:p>
      <w:pPr>
        <w:jc w:val="both"/>
      </w:pPr>
      <w:r>
        <w:rPr>
          <w:rFonts w:ascii="Arial" w:hAnsi="Arial"/>
        </w:rPr>
        <w:t xml:space="preserve">Las partes acuerdan </w:t>
      </w:r>
      <w:r>
        <w:rPr>
          <w:rFonts w:ascii="Arial" w:hAnsi="Arial"/>
          <w:b/>
          <w:color w:val="397CDD"/>
          <w:shd w:fill="E5EFFC"/>
        </w:rPr>
        <w:t>{{EXISTENCIA_PENSION_COMPENSATORIA}}</w:t>
      </w:r>
      <w:r>
        <w:rPr>
          <w:rFonts w:ascii="Arial" w:hAnsi="Arial"/>
        </w:rPr>
        <w:t xml:space="preserve">. En caso afirmativo: cuantía </w:t>
      </w:r>
      <w:r>
        <w:rPr>
          <w:rFonts w:ascii="Arial" w:hAnsi="Arial"/>
          <w:b/>
          <w:color w:val="397CDD"/>
          <w:shd w:fill="E5EFFC"/>
        </w:rPr>
        <w:t>{{CUANTIA}}</w:t>
      </w:r>
      <w:r>
        <w:rPr>
          <w:rFonts w:ascii="Arial" w:hAnsi="Arial"/>
        </w:rPr>
        <w:t xml:space="preserve">, duración </w:t>
      </w:r>
      <w:r>
        <w:rPr>
          <w:rFonts w:ascii="Arial" w:hAnsi="Arial"/>
          <w:b/>
          <w:color w:val="397CDD"/>
          <w:shd w:fill="E5EFFC"/>
        </w:rPr>
        <w:t>{{DURACION}}</w:t>
      </w:r>
      <w:r>
        <w:rPr>
          <w:rFonts w:ascii="Arial" w:hAnsi="Arial"/>
        </w:rPr>
        <w:t xml:space="preserve">, actualización </w:t>
      </w:r>
      <w:r>
        <w:rPr>
          <w:rFonts w:ascii="Arial" w:hAnsi="Arial"/>
          <w:b/>
          <w:color w:val="397CDD"/>
          <w:shd w:fill="E5EFFC"/>
        </w:rPr>
        <w:t>{{ACTUALIZACION}}</w:t>
      </w:r>
      <w:r>
        <w:rPr>
          <w:rFonts w:ascii="Arial" w:hAnsi="Arial"/>
        </w:rPr>
        <w:t xml:space="preserve"> y extinción </w:t>
      </w:r>
      <w:r>
        <w:rPr>
          <w:rFonts w:ascii="Arial" w:hAnsi="Arial"/>
          <w:b/>
          <w:color w:val="397CDD"/>
          <w:shd w:fill="E5EFFC"/>
        </w:rPr>
        <w:t>{{CAUSAS_EXTINCION}}</w:t>
      </w:r>
      <w:r>
        <w:rPr>
          <w:rFonts w:ascii="Arial" w:hAnsi="Arial"/>
        </w:rPr>
        <w:t>.</w:t>
      </w:r>
    </w:p>
    <w:p>
      <w:pPr>
        <w:pStyle w:val="Heading2"/>
      </w:pPr>
      <w:r>
        <w:t>Régimen económico</w:t>
      </w:r>
    </w:p>
    <w:p>
      <w:pPr>
        <w:jc w:val="both"/>
      </w:pPr>
      <w:r>
        <w:rPr>
          <w:rFonts w:ascii="Arial" w:hAnsi="Arial"/>
        </w:rPr>
        <w:t xml:space="preserve">La liquidación del régimen económico </w:t>
      </w:r>
      <w:r>
        <w:rPr>
          <w:rFonts w:ascii="Arial" w:hAnsi="Arial"/>
          <w:b/>
          <w:color w:val="397CDD"/>
          <w:shd w:fill="E5EFFC"/>
        </w:rPr>
        <w:t>{{SE_INCLUYE_O_RESERVA}}</w:t>
      </w:r>
      <w:r>
        <w:rPr>
          <w:rFonts w:ascii="Arial" w:hAnsi="Arial"/>
        </w:rPr>
        <w:t xml:space="preserve">. Bienes, deudas, adjudicaciones, compensaciones y valoración constan en </w:t>
      </w:r>
      <w:r>
        <w:rPr>
          <w:rFonts w:ascii="Arial" w:hAnsi="Arial"/>
          <w:b/>
          <w:color w:val="397CDD"/>
          <w:shd w:fill="E5EFFC"/>
        </w:rPr>
        <w:t>{{ANEXO_LIQUIDACION}}</w:t>
      </w:r>
      <w:r>
        <w:rPr>
          <w:rFonts w:ascii="Arial" w:hAnsi="Arial"/>
        </w:rPr>
        <w:t>.</w:t>
      </w:r>
    </w:p>
    <w:p>
      <w:pPr>
        <w:pStyle w:val="Heading2"/>
      </w:pPr>
      <w:r>
        <w:t>Formalización</w:t>
      </w:r>
    </w:p>
    <w:p>
      <w:pPr>
        <w:jc w:val="both"/>
      </w:pPr>
      <w:r>
        <w:rPr>
          <w:rFonts w:ascii="Arial" w:hAnsi="Arial"/>
        </w:rPr>
        <w:t>Las partes solicitan la aprobación o formalización del convenio y se comprometen a realizar las actuaciones registrales y fiscales que resulten necesarias.</w:t>
      </w:r>
    </w:p>
    <w:p>
      <w:pPr>
        <w:pStyle w:val="Heading2"/>
      </w:pPr>
      <w:r>
        <w:t>Petición o acuerdo final</w:t>
      </w:r>
    </w:p>
    <w:p>
      <w:r>
        <w:rPr>
          <w:rFonts w:ascii="Arial" w:hAnsi="Arial"/>
        </w:rPr>
        <w:t xml:space="preserve">En </w:t>
      </w:r>
      <w:r>
        <w:rPr>
          <w:rFonts w:ascii="Arial" w:hAnsi="Arial"/>
          <w:b/>
          <w:color w:val="397CDD"/>
          <w:shd w:fill="E5EFFC"/>
        </w:rPr>
        <w:t>{{LOCALIDAD}}</w:t>
      </w:r>
      <w:r>
        <w:rPr>
          <w:rFonts w:ascii="Arial" w:hAnsi="Arial"/>
        </w:rPr>
        <w:t xml:space="preserve">, a </w:t>
      </w:r>
      <w:r>
        <w:rPr>
          <w:rFonts w:ascii="Arial" w:hAnsi="Arial"/>
          <w:b/>
          <w:color w:val="397CDD"/>
          <w:shd w:fill="E5EFFC"/>
        </w:rPr>
        <w:t>{{FECHA_FIRMA}}</w:t>
      </w:r>
      <w:r>
        <w:rPr>
          <w:rFonts w:ascii="Arial" w:hAnsi="Arial"/>
        </w:rPr>
        <w:t xml:space="preserve">. Se firma o presenta por </w:t>
      </w:r>
      <w:r>
        <w:rPr>
          <w:rFonts w:ascii="Arial" w:hAnsi="Arial"/>
          <w:b/>
          <w:color w:val="397CDD"/>
          <w:shd w:fill="E5EFFC"/>
        </w:rPr>
        <w:t>{{FIRMANTES_O_REPRESENTANTE}}</w:t>
      </w:r>
      <w:r>
        <w:rPr>
          <w:rFonts w:ascii="Arial" w:hAnsi="Arial"/>
        </w:rPr>
        <w:t>.</w:t>
      </w:r>
    </w:p>
    <w:tbl>
      <w:tblPr>
        <w:tblW w:type="dxa" w:w="9532"/>
        <w:tblLayout w:type="fixed"/>
        <w:tblLook w:firstColumn="1" w:firstRow="1" w:lastColumn="0" w:lastRow="0" w:noHBand="0" w:noVBand="1" w:val="04A0"/>
        <w:tblInd w:w="0" w:type="dxa"/>
      </w:tblPr>
      <w:tblGrid>
        <w:gridCol w:w="4766"/>
        <w:gridCol w:w="4766"/>
      </w:tblGrid>
      <w:tr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identificación</w:t>
            </w:r>
          </w:p>
        </w:tc>
        <w:tc>
          <w:tcPr>
            <w:tcW w:type="dxa" w:w="4766"/>
            <w:shd w:fill="EFF4FC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b/>
                <w:sz w:val="18"/>
              </w:rPr>
              <w:t>Firma / representación</w:t>
            </w:r>
          </w:p>
        </w:tc>
      </w:tr>
      <w:tr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  <w:tc>
          <w:tcPr>
            <w:tcW w:type="dxa" w:w="4766"/>
            <w:tcMar>
              <w:top w:w="300" w:type="dxa"/>
              <w:start w:w="140" w:type="dxa"/>
              <w:bottom w:w="320" w:type="dxa"/>
              <w:end w:w="140" w:type="dxa"/>
            </w:tcMar>
          </w:tcPr>
          <w:p>
            <w:r>
              <w:rPr>
                <w:rFonts w:ascii="Arial" w:hAnsi="Arial"/>
                <w:b/>
                <w:color w:val="397CDD"/>
                <w:shd w:fill="E5EFFC"/>
              </w:rPr>
              <w:t>{{NOMBRE_Y_FIRMA}}</w:t>
            </w:r>
          </w:p>
        </w:tc>
      </w:tr>
    </w:tbl>
    <w:p>
      <w:pPr>
        <w:keepNext/>
        <w:spacing w:before="160" w:after="160"/>
        <w:jc w:val="center"/>
        <w:pBdr>
          <w:bottom w:val="single" w:sz="10" w:space="5" w:color="D7A46D"/>
        </w:pBdr>
      </w:pPr>
      <w:r>
        <w:rPr>
          <w:rFonts w:ascii="Georgia" w:hAnsi="Georgia"/>
          <w:b/>
          <w:color w:val="17233C"/>
          <w:sz w:val="31"/>
        </w:rPr>
        <w:t>GUÍA DE REVISIÓN</w:t>
      </w:r>
    </w:p>
    <w:p>
      <w:pPr>
        <w:spacing w:after="240"/>
        <w:jc w:val="center"/>
      </w:pPr>
      <w:r>
        <w:rPr>
          <w:rFonts w:ascii="Arial" w:hAnsi="Arial"/>
          <w:b/>
          <w:color w:val="667085"/>
          <w:sz w:val="16"/>
        </w:rPr>
        <w:t>MATERIAL DE APOYO · ELIMINA ESTA PARTE ANTES DE FIRMAR O PRESENTAR</w:t>
      </w:r>
    </w:p>
    <w:p>
      <w:pPr>
        <w:pStyle w:val="Heading1"/>
      </w:pPr>
      <w:r>
        <w:t>Comprobación antes de firmar o presentar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Certificado matrimonial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Escrituras, contratos y cargas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Inventario y valoración de bienes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Información fiscal de adjudicaciones</w:t>
      </w:r>
    </w:p>
    <w:p>
      <w:pPr>
        <w:pStyle w:val="ListBullet"/>
        <w:spacing w:after="70"/>
        <w:ind w:left="490" w:hanging="230"/>
      </w:pPr>
      <w:r>
        <w:rPr>
          <w:rFonts w:ascii="Arial" w:hAnsi="Arial"/>
        </w:rPr>
        <w:t>Comprobación de hijos mayores dependientes</w:t>
      </w:r>
    </w:p>
    <w:tbl>
      <w:tblPr>
        <w:tblW w:type="dxa" w:w="9533"/>
        <w:tblLayout w:type="fixed"/>
        <w:tblLook w:firstColumn="1" w:firstRow="1" w:lastColumn="0" w:lastRow="0" w:noHBand="0" w:noVBand="1" w:val="04A0"/>
        <w:tblInd w:w="0" w:type="dxa"/>
      </w:tblPr>
      <w:tblGrid>
        <w:gridCol w:w="9533"/>
      </w:tblGrid>
      <w:tr>
        <w:tc>
          <w:tcPr>
            <w:tcW w:type="dxa" w:w="9533"/>
            <w:shd w:fill="EFF4FC"/>
            <w:tcMar>
              <w:top w:w="135" w:type="dxa"/>
              <w:start w:w="170" w:type="dxa"/>
              <w:bottom w:w="135" w:type="dxa"/>
              <w:end w:w="170" w:type="dxa"/>
            </w:tcMar>
            <w:vAlign w:val="center"/>
          </w:tcPr>
          <w:p>
            <w:pPr>
              <w:spacing w:after="80"/>
            </w:pPr>
            <w:r>
              <w:rPr>
                <w:rFonts w:ascii="Arial" w:hAnsi="Arial"/>
                <w:b/>
                <w:color w:val="17233C"/>
                <w:sz w:val="21"/>
              </w:rPr>
              <w:t>Puntos que requieren especial atención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El divorcio notarial exige asistencia de abogado y solo procede cuando se cumplen los requisitos legales.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La adjudicación de inmuebles requiere forma pública, inscripción y revisión fiscal.</w:t>
            </w:r>
          </w:p>
          <w:p>
            <w:pPr>
              <w:spacing w:after="40"/>
            </w:pPr>
            <w:r>
              <w:rPr>
                <w:rFonts w:ascii="Arial" w:hAnsi="Arial"/>
              </w:rPr>
              <w:t>Un pacto entre cónyuges no libera frente al banco sin consentimiento de la entidad.</w:t>
            </w:r>
          </w:p>
        </w:tc>
      </w:tr>
    </w:tbl>
    <w:p>
      <w:pPr>
        <w:spacing w:after="0"/>
      </w:pPr>
    </w:p>
    <w:p>
      <w:pPr>
        <w:pStyle w:val="Heading1"/>
      </w:pPr>
      <w:r>
        <w:t>Fuentes de referencia</w:t>
      </w:r>
    </w:p>
    <w:p>
      <w:r>
        <w:rPr>
          <w:b/>
        </w:rPr>
        <w:t>Código Civil, arts. 82, 87 y 90</w:t>
      </w:r>
      <w:r>
        <w:t xml:space="preserve"> — https://www.boe.es/buscar/act.php?id=BOE-A-1889-4763</w:t>
      </w:r>
    </w:p>
    <w:p>
      <w:r>
        <w:rPr>
          <w:b/>
        </w:rPr>
        <w:t>Ley de Jurisdicción Voluntaria, art. 54</w:t>
      </w:r>
      <w:r>
        <w:t xml:space="preserve"> — https://www.boe.es/buscar/act.php?id=BOE-A-2015-7391</w:t>
      </w:r>
    </w:p>
    <w:p>
      <w:pPr>
        <w:spacing w:before="120"/>
      </w:pPr>
      <w:r>
        <w:rPr>
          <w:i/>
          <w:color w:val="667085"/>
          <w:sz w:val="16"/>
        </w:rPr>
        <w:t>Versión revisada: 2026-08-24. Información jurídica general; normativa y procedimiento deben comprobarse en la fecha de uso.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1008" w:right="1187" w:bottom="950" w:left="1187" w:header="389" w:footer="38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9533"/>
      <w:tblLayout w:type="fixed"/>
      <w:tblLook w:firstColumn="1" w:firstRow="1" w:lastColumn="0" w:lastRow="0" w:noHBand="0" w:noVBand="1" w:val="04A0"/>
      <w:tblInd w:w="0" w:type="dxa"/>
    </w:tblPr>
    <w:tblGrid>
      <w:gridCol w:w="8237"/>
      <w:gridCol w:w="1296"/>
    </w:tblGrid>
    <w:tr>
      <w:tc>
        <w:tcPr>
          <w:tcW w:type="dxa" w:w="8237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after="0"/>
          </w:pPr>
          <w:r>
            <w:rPr>
              <w:rFonts w:ascii="Arial" w:hAnsi="Arial"/>
              <w:color w:val="667085"/>
              <w:sz w:val="14"/>
            </w:rPr>
            <w:t>Modelo orientativo · Revisión profesional recomendada · perezburgosabogados.es</w:t>
          </w:r>
        </w:p>
      </w:tc>
      <w:tc>
        <w:tcPr>
          <w:tcW w:type="dxa" w:w="1296"/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jc w:val="right"/>
          </w:pPr>
          <w: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Georgia" w:hAnsi="Georgia"/>
        <w:b/>
        <w:color w:val="17233C"/>
        <w:sz w:val="18"/>
      </w:rPr>
      <w:t>PÉREZ &amp; BURGOS</w:t>
    </w:r>
    <w:r>
      <w:rPr>
        <w:rFonts w:ascii="Arial" w:hAnsi="Arial"/>
        <w:b/>
        <w:color w:val="397CDD"/>
        <w:sz w:val="15"/>
      </w:rPr>
      <w:t xml:space="preserve">  ·  MODELOS JURÍDICOS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  <w:jc w:val="both"/>
    </w:pPr>
    <w:rPr>
      <w:rFonts w:ascii="Arial" w:hAnsi="Arial"/>
      <w:color w:val="263044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Georgia" w:hAnsi="Georgia"/>
      <w:b/>
      <w:bCs/>
      <w:color w:val="17233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Georgia" w:hAnsi="Georgia"/>
      <w:b/>
      <w:bCs/>
      <w:color w:val="1723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Georgia" w:hAnsi="Georgia"/>
      <w:b/>
      <w:bCs/>
      <w:color w:val="1723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Modelo jurídico editable de Pérez &amp; Burgos Abogados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