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FAMILIA Y ACUERDOS PRIVADOS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Convenio regulador con custodia exclusiva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Propuesta de medidas con residencia habitual de los hijos con uno de los progenitores.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Juzgado competente.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Reunidos</w:t>
      </w:r>
    </w:p>
    <w:p>
      <w:pPr>
        <w:jc w:val="both"/>
      </w:pPr>
      <w:r>
        <w:rPr>
          <w:rFonts w:ascii="Arial" w:hAnsi="Arial"/>
        </w:rPr>
        <w:t xml:space="preserve">De una parte, </w:t>
      </w:r>
      <w:r>
        <w:rPr>
          <w:rFonts w:ascii="Arial" w:hAnsi="Arial"/>
          <w:b/>
          <w:color w:val="397CDD"/>
          <w:shd w:fill="E5EFFC"/>
        </w:rPr>
        <w:t>{{PROGENITOR_A}}</w:t>
      </w:r>
      <w:r>
        <w:rPr>
          <w:rFonts w:ascii="Arial" w:hAnsi="Arial"/>
        </w:rPr>
        <w:t xml:space="preserve">, con DNI/NIE </w:t>
      </w:r>
      <w:r>
        <w:rPr>
          <w:rFonts w:ascii="Arial" w:hAnsi="Arial"/>
          <w:b/>
          <w:color w:val="397CDD"/>
          <w:shd w:fill="E5EFFC"/>
        </w:rPr>
        <w:t>{{DNI_A}}</w:t>
      </w:r>
      <w:r>
        <w:rPr>
          <w:rFonts w:ascii="Arial" w:hAnsi="Arial"/>
        </w:rPr>
        <w:t xml:space="preserve"> y domicilio en </w:t>
      </w:r>
      <w:r>
        <w:rPr>
          <w:rFonts w:ascii="Arial" w:hAnsi="Arial"/>
          <w:b/>
          <w:color w:val="397CDD"/>
          <w:shd w:fill="E5EFFC"/>
        </w:rPr>
        <w:t>{{DOMICILIO_A}}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De otra parte, </w:t>
      </w:r>
      <w:r>
        <w:rPr>
          <w:rFonts w:ascii="Arial" w:hAnsi="Arial"/>
          <w:b/>
          <w:color w:val="397CDD"/>
          <w:shd w:fill="E5EFFC"/>
        </w:rPr>
        <w:t>{{PROGENITOR_B}}</w:t>
      </w:r>
      <w:r>
        <w:rPr>
          <w:rFonts w:ascii="Arial" w:hAnsi="Arial"/>
        </w:rPr>
        <w:t xml:space="preserve">, con DNI/NIE </w:t>
      </w:r>
      <w:r>
        <w:rPr>
          <w:rFonts w:ascii="Arial" w:hAnsi="Arial"/>
          <w:b/>
          <w:color w:val="397CDD"/>
          <w:shd w:fill="E5EFFC"/>
        </w:rPr>
        <w:t>{{DNI_B}}</w:t>
      </w:r>
      <w:r>
        <w:rPr>
          <w:rFonts w:ascii="Arial" w:hAnsi="Arial"/>
        </w:rPr>
        <w:t xml:space="preserve"> y domicilio en </w:t>
      </w:r>
      <w:r>
        <w:rPr>
          <w:rFonts w:ascii="Arial" w:hAnsi="Arial"/>
          <w:b/>
          <w:color w:val="397CDD"/>
          <w:shd w:fill="E5EFFC"/>
        </w:rPr>
        <w:t>{{DOMICILIO_B}}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>Ambas partes reconocen capacidad suficiente para suscribir esta propuesta y manifiestan su voluntad de regular de común acuerdo los efectos de su ruptura.</w:t>
      </w:r>
    </w:p>
    <w:p>
      <w:pPr>
        <w:pStyle w:val="Heading2"/>
      </w:pPr>
      <w:r>
        <w:t>Antecedentes</w:t>
      </w:r>
    </w:p>
    <w:p>
      <w:pPr>
        <w:jc w:val="both"/>
      </w:pPr>
      <w:r>
        <w:rPr>
          <w:rFonts w:ascii="Arial" w:hAnsi="Arial"/>
        </w:rPr>
        <w:t xml:space="preserve">La relación o matrimonio se inició el </w:t>
      </w:r>
      <w:r>
        <w:rPr>
          <w:rFonts w:ascii="Arial" w:hAnsi="Arial"/>
          <w:b/>
          <w:color w:val="397CDD"/>
          <w:shd w:fill="E5EFFC"/>
        </w:rPr>
        <w:t>{{FECHA_INICIO}}</w:t>
      </w:r>
      <w:r>
        <w:rPr>
          <w:rFonts w:ascii="Arial" w:hAnsi="Arial"/>
        </w:rPr>
        <w:t xml:space="preserve">. Los hijos comunes son </w:t>
      </w:r>
      <w:r>
        <w:rPr>
          <w:rFonts w:ascii="Arial" w:hAnsi="Arial"/>
          <w:b/>
          <w:color w:val="397CDD"/>
          <w:shd w:fill="E5EFFC"/>
        </w:rPr>
        <w:t>{{HIJOS_Y_FECHAS_NACIMIENTO}}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El último domicilio familiar se encuentra en </w:t>
      </w:r>
      <w:r>
        <w:rPr>
          <w:rFonts w:ascii="Arial" w:hAnsi="Arial"/>
          <w:b/>
          <w:color w:val="397CDD"/>
          <w:shd w:fill="E5EFFC"/>
        </w:rPr>
        <w:t>{{DOMICILIO_FAMILIAR}}</w:t>
      </w:r>
      <w:r>
        <w:rPr>
          <w:rFonts w:ascii="Arial" w:hAnsi="Arial"/>
        </w:rPr>
        <w:t xml:space="preserve">. El régimen económico matrimonial, cuando exista, es </w:t>
      </w:r>
      <w:r>
        <w:rPr>
          <w:rFonts w:ascii="Arial" w:hAnsi="Arial"/>
          <w:b/>
          <w:color w:val="397CDD"/>
          <w:shd w:fill="E5EFFC"/>
        </w:rPr>
        <w:t>{{REGIMEN_ECONOMICO}}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>Las partes declaran que la información económica y familiar utilizada para este acuerdo es completa y actual.</w:t>
      </w:r>
    </w:p>
    <w:p>
      <w:pPr>
        <w:pStyle w:val="Heading2"/>
      </w:pPr>
      <w:r>
        <w:t>Patria potestad</w:t>
      </w:r>
    </w:p>
    <w:p>
      <w:pPr>
        <w:jc w:val="both"/>
      </w:pPr>
      <w:r>
        <w:rPr>
          <w:rFonts w:ascii="Arial" w:hAnsi="Arial"/>
        </w:rPr>
        <w:t xml:space="preserve">La patria potestad se ejercerá conjuntamente, salvo resolución que disponga otra cosa. Las decisiones relevantes se comunicarán por </w:t>
      </w:r>
      <w:r>
        <w:rPr>
          <w:rFonts w:ascii="Arial" w:hAnsi="Arial"/>
          <w:b/>
          <w:color w:val="397CDD"/>
          <w:shd w:fill="E5EFFC"/>
        </w:rPr>
        <w:t>{{CANAL_COMUNICACION}}</w:t>
      </w:r>
      <w:r>
        <w:rPr>
          <w:rFonts w:ascii="Arial" w:hAnsi="Arial"/>
        </w:rPr>
        <w:t>.</w:t>
      </w:r>
    </w:p>
    <w:p>
      <w:pPr>
        <w:pStyle w:val="Heading2"/>
      </w:pPr>
      <w:r>
        <w:t>Guarda y residencia</w:t>
      </w:r>
    </w:p>
    <w:p>
      <w:pPr>
        <w:jc w:val="both"/>
      </w:pPr>
      <w:r>
        <w:rPr>
          <w:rFonts w:ascii="Arial" w:hAnsi="Arial"/>
        </w:rPr>
        <w:t xml:space="preserve">La guarda y custodia se atribuye a </w:t>
      </w:r>
      <w:r>
        <w:rPr>
          <w:rFonts w:ascii="Arial" w:hAnsi="Arial"/>
          <w:b/>
          <w:color w:val="397CDD"/>
          <w:shd w:fill="E5EFFC"/>
        </w:rPr>
        <w:t>{{PROGENITOR_CUSTODIO}}</w:t>
      </w:r>
      <w:r>
        <w:rPr>
          <w:rFonts w:ascii="Arial" w:hAnsi="Arial"/>
        </w:rPr>
        <w:t xml:space="preserve"> y la residencia habitual de los hijos se fija en </w:t>
      </w:r>
      <w:r>
        <w:rPr>
          <w:rFonts w:ascii="Arial" w:hAnsi="Arial"/>
          <w:b/>
          <w:color w:val="397CDD"/>
          <w:shd w:fill="E5EFFC"/>
        </w:rPr>
        <w:t>{{RESIDENCIA_MENORES}}</w:t>
      </w:r>
      <w:r>
        <w:rPr>
          <w:rFonts w:ascii="Arial" w:hAnsi="Arial"/>
        </w:rPr>
        <w:t>.</w:t>
      </w:r>
    </w:p>
    <w:p>
      <w:pPr>
        <w:pStyle w:val="Heading2"/>
      </w:pPr>
      <w:r>
        <w:t>Estancias y comunicaciones</w:t>
      </w:r>
    </w:p>
    <w:p>
      <w:pPr>
        <w:jc w:val="both"/>
      </w:pPr>
      <w:r>
        <w:rPr>
          <w:rFonts w:ascii="Arial" w:hAnsi="Arial"/>
        </w:rPr>
        <w:t xml:space="preserve">El progenitor no custodio estará con los hijos </w:t>
      </w:r>
      <w:r>
        <w:rPr>
          <w:rFonts w:ascii="Arial" w:hAnsi="Arial"/>
          <w:b/>
          <w:color w:val="397CDD"/>
          <w:shd w:fill="E5EFFC"/>
        </w:rPr>
        <w:t>{{REGIMEN_ESTANCIAS}}</w:t>
      </w:r>
      <w:r>
        <w:rPr>
          <w:rFonts w:ascii="Arial" w:hAnsi="Arial"/>
        </w:rPr>
        <w:t xml:space="preserve">, con entregas en </w:t>
      </w:r>
      <w:r>
        <w:rPr>
          <w:rFonts w:ascii="Arial" w:hAnsi="Arial"/>
          <w:b/>
          <w:color w:val="397CDD"/>
          <w:shd w:fill="E5EFFC"/>
        </w:rPr>
        <w:t>{{LUGAR_ENTREGAS}}</w:t>
      </w:r>
      <w:r>
        <w:rPr>
          <w:rFonts w:ascii="Arial" w:hAnsi="Arial"/>
        </w:rPr>
        <w:t xml:space="preserve">. Las vacaciones se repartirán </w:t>
      </w:r>
      <w:r>
        <w:rPr>
          <w:rFonts w:ascii="Arial" w:hAnsi="Arial"/>
          <w:b/>
          <w:color w:val="397CDD"/>
          <w:shd w:fill="E5EFFC"/>
        </w:rPr>
        <w:t>{{REPARTO_VACACIONES}}</w:t>
      </w:r>
      <w:r>
        <w:rPr>
          <w:rFonts w:ascii="Arial" w:hAnsi="Arial"/>
        </w:rPr>
        <w:t>.</w:t>
      </w:r>
    </w:p>
    <w:p>
      <w:pPr>
        <w:pStyle w:val="Heading2"/>
      </w:pPr>
      <w:r>
        <w:t>Alimentos y actualización</w:t>
      </w:r>
    </w:p>
    <w:p>
      <w:pPr>
        <w:jc w:val="both"/>
      </w:pPr>
      <w:r>
        <w:rPr>
          <w:rFonts w:ascii="Arial" w:hAnsi="Arial"/>
        </w:rPr>
        <w:t xml:space="preserve">Se abonará una pensión de </w:t>
      </w:r>
      <w:r>
        <w:rPr>
          <w:rFonts w:ascii="Arial" w:hAnsi="Arial"/>
          <w:b/>
          <w:color w:val="397CDD"/>
          <w:shd w:fill="E5EFFC"/>
        </w:rPr>
        <w:t>{{PENSION_MENSUAL}}</w:t>
      </w:r>
      <w:r>
        <w:rPr>
          <w:rFonts w:ascii="Arial" w:hAnsi="Arial"/>
        </w:rPr>
        <w:t xml:space="preserve"> mensuales por </w:t>
      </w:r>
      <w:r>
        <w:rPr>
          <w:rFonts w:ascii="Arial" w:hAnsi="Arial"/>
          <w:b/>
          <w:color w:val="397CDD"/>
          <w:shd w:fill="E5EFFC"/>
        </w:rPr>
        <w:t>{{MEDIO_PAGO}}</w:t>
      </w:r>
      <w:r>
        <w:rPr>
          <w:rFonts w:ascii="Arial" w:hAnsi="Arial"/>
        </w:rPr>
        <w:t xml:space="preserve">, dentro de los primeros </w:t>
      </w:r>
      <w:r>
        <w:rPr>
          <w:rFonts w:ascii="Arial" w:hAnsi="Arial"/>
          <w:b/>
          <w:color w:val="397CDD"/>
          <w:shd w:fill="E5EFFC"/>
        </w:rPr>
        <w:t>{{DIAS_PAGO}}</w:t>
      </w:r>
      <w:r>
        <w:rPr>
          <w:rFonts w:ascii="Arial" w:hAnsi="Arial"/>
        </w:rPr>
        <w:t xml:space="preserve"> días. Se actualizará conforme a </w:t>
      </w:r>
      <w:r>
        <w:rPr>
          <w:rFonts w:ascii="Arial" w:hAnsi="Arial"/>
          <w:b/>
          <w:color w:val="397CDD"/>
          <w:shd w:fill="E5EFFC"/>
        </w:rPr>
        <w:t>{{INDICE_ACTUALIZACION}}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Los gastos extraordinarios se abonarán </w:t>
      </w:r>
      <w:r>
        <w:rPr>
          <w:rFonts w:ascii="Arial" w:hAnsi="Arial"/>
          <w:b/>
          <w:color w:val="397CDD"/>
          <w:shd w:fill="E5EFFC"/>
        </w:rPr>
        <w:t>{{REPARTO_EXTRAORDINARIOS}}</w:t>
      </w:r>
      <w:r>
        <w:rPr>
          <w:rFonts w:ascii="Arial" w:hAnsi="Arial"/>
        </w:rPr>
        <w:t xml:space="preserve"> y se documentarán mediante factura o justificante.</w:t>
      </w:r>
    </w:p>
    <w:p>
      <w:pPr>
        <w:pStyle w:val="Heading2"/>
      </w:pPr>
      <w:r>
        <w:t>Vivienda y cargas</w:t>
      </w:r>
    </w:p>
    <w:p>
      <w:pPr>
        <w:jc w:val="both"/>
      </w:pPr>
      <w:r>
        <w:rPr>
          <w:rFonts w:ascii="Arial" w:hAnsi="Arial"/>
        </w:rPr>
        <w:t xml:space="preserve">El uso de la vivienda y ajuar familiar se atribuye a </w:t>
      </w:r>
      <w:r>
        <w:rPr>
          <w:rFonts w:ascii="Arial" w:hAnsi="Arial"/>
          <w:b/>
          <w:color w:val="397CDD"/>
          <w:shd w:fill="E5EFFC"/>
        </w:rPr>
        <w:t>{{USO_VIVIENDA}}</w:t>
      </w:r>
      <w:r>
        <w:rPr>
          <w:rFonts w:ascii="Arial" w:hAnsi="Arial"/>
        </w:rPr>
        <w:t xml:space="preserve">. Las cargas se repartirán conforme a </w:t>
      </w:r>
      <w:r>
        <w:rPr>
          <w:rFonts w:ascii="Arial" w:hAnsi="Arial"/>
          <w:b/>
          <w:color w:val="397CDD"/>
          <w:shd w:fill="E5EFFC"/>
        </w:rPr>
        <w:t>{{REPARTO_CARGAS}}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Ingresos y gastos de ambos progenitores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Necesidades mensuales de los hijos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Propuesta realista de estancias y entregas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Información sobre vivienda y cargas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Certificados registrales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confundas custodia exclusiva con privación de patria potestad.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pensión debe adaptarse a necesidades y capacidad económica.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Las medidas necesitan aprobación judicial cuando afectan a menores.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Civil, art. 90</w:t>
      </w:r>
      <w:r>
        <w:t xml:space="preserve"> — https://www.boe.es/buscar/act.php?id=BOE-A-1889-4763</w:t>
      </w:r>
    </w:p>
    <w:p>
      <w:r>
        <w:rPr>
          <w:b/>
        </w:rPr>
        <w:t>Ley de Enjuiciamiento Civil, art. 777</w:t>
      </w:r>
      <w:r>
        <w:t xml:space="preserve"> — https://www.boe.es/buscar/act.php?id=BOE-A-2000-323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