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00" w:after="40"/>
        <w:jc w:val="center"/>
      </w:pPr>
      <w:r>
        <w:rPr>
          <w:rFonts w:ascii="Arial" w:hAnsi="Arial"/>
          <w:b/>
          <w:color w:val="397CDD"/>
          <w:sz w:val="16"/>
        </w:rPr>
        <w:t>FAMILIA Y ACUERDOS PRIVADOS</w:t>
      </w:r>
    </w:p>
    <w:p>
      <w:pPr>
        <w:keepNext/>
        <w:spacing w:after="120"/>
        <w:jc w:val="center"/>
      </w:pPr>
      <w:r>
        <w:rPr>
          <w:rFonts w:ascii="Georgia" w:hAnsi="Georgia"/>
          <w:b/>
          <w:color w:val="17233C"/>
          <w:sz w:val="42"/>
        </w:rPr>
        <w:t>Convenio regulador con custodia compartida</w:t>
      </w:r>
    </w:p>
    <w:p>
      <w:pPr>
        <w:spacing w:after="240"/>
        <w:jc w:val="center"/>
      </w:pPr>
      <w:r>
        <w:rPr>
          <w:rFonts w:ascii="Arial" w:hAnsi="Arial"/>
          <w:color w:val="667085"/>
          <w:sz w:val="21"/>
        </w:rPr>
        <w:t>Propuesta completa para divorcio o separación de mutuo acuerdo con hijos y custodia compartida.</w:t>
      </w:r>
    </w:p>
    <w:tbl>
      <w:tblPr>
        <w:tblW w:type="dxa" w:w="9533"/>
        <w:tblLayout w:type="fixed"/>
        <w:tblLook w:firstColumn="1" w:firstRow="1" w:lastColumn="0" w:lastRow="0" w:noHBand="0" w:noVBand="1" w:val="04A0"/>
        <w:tblInd w:w="0" w:type="dxa"/>
      </w:tblPr>
      <w:tblGrid>
        <w:gridCol w:w="9533"/>
      </w:tblGrid>
      <w:tr>
        <w:tc>
          <w:tcPr>
            <w:tcW w:type="dxa" w:w="9533"/>
            <w:shd w:fill="F5F0E8"/>
            <w:tcMar>
              <w:top w:w="135" w:type="dxa"/>
              <w:start w:w="170" w:type="dxa"/>
              <w:bottom w:w="135" w:type="dxa"/>
              <w:end w:w="170" w:type="dxa"/>
            </w:tcMar>
            <w:vAlign w:val="center"/>
          </w:tcPr>
          <w:p>
            <w:pPr>
              <w:spacing w:after="80"/>
            </w:pPr>
            <w:r>
              <w:rPr>
                <w:rFonts w:ascii="Arial" w:hAnsi="Arial"/>
                <w:b/>
                <w:color w:val="17233C"/>
                <w:sz w:val="21"/>
              </w:rPr>
              <w:t>GUÍA DE USO · NO FORMA PARTE DEL ESCRITO</w:t>
            </w:r>
          </w:p>
          <w:p>
            <w:pPr>
              <w:spacing w:after="40"/>
            </w:pPr>
            <w:r>
              <w:rPr>
                <w:rFonts w:ascii="Arial" w:hAnsi="Arial"/>
              </w:rPr>
              <w:t>Documento editable y orientativo. Sustituye todos los campos azules y elimina las alternativas que no correspondan.</w:t>
            </w:r>
          </w:p>
          <w:p>
            <w:pPr>
              <w:spacing w:after="40"/>
            </w:pPr>
            <w:r>
              <w:rPr>
                <w:rFonts w:ascii="Arial" w:hAnsi="Arial"/>
              </w:rPr>
              <w:t>Comprueba destinatario, procedimiento, plazo, hechos, documentos y forma de presentación. Un modelo no determina por sí solo la estrategia ni interrumpe automáticamente ningún plazo.</w:t>
            </w:r>
          </w:p>
          <w:p>
            <w:pPr>
              <w:spacing w:after="40"/>
            </w:pPr>
            <w:r>
              <w:rPr>
                <w:rFonts w:ascii="Arial" w:hAnsi="Arial"/>
              </w:rPr>
              <w:t>Destinatario habitual: Juzgado, Letrado de la Administración de Justicia o notaría competente.</w:t>
            </w:r>
          </w:p>
        </w:tc>
      </w:tr>
    </w:tbl>
    <w:p>
      <w:pPr>
        <w:spacing w:after="0"/>
      </w:pPr>
    </w:p>
    <w:p>
      <w:pPr>
        <w:keepNext/>
        <w:spacing w:before="160" w:after="160"/>
        <w:jc w:val="center"/>
        <w:pBdr>
          <w:bottom w:val="single" w:sz="10" w:space="5" w:color="D7A46D"/>
        </w:pBdr>
      </w:pPr>
      <w:r>
        <w:rPr>
          <w:rFonts w:ascii="Georgia" w:hAnsi="Georgia"/>
          <w:b/>
          <w:color w:val="17233C"/>
          <w:sz w:val="31"/>
        </w:rPr>
        <w:t>BORRADOR EDITABLE</w:t>
      </w:r>
    </w:p>
    <w:p>
      <w:pPr>
        <w:spacing w:after="240"/>
        <w:jc w:val="center"/>
      </w:pPr>
      <w:r>
        <w:rPr>
          <w:rFonts w:ascii="Arial" w:hAnsi="Arial"/>
          <w:b/>
          <w:color w:val="667085"/>
          <w:sz w:val="16"/>
        </w:rPr>
        <w:t>DESDE AQUÍ COMIENZA EL TEXTO DEL DOCUMENTO</w:t>
      </w:r>
    </w:p>
    <w:p>
      <w:pPr>
        <w:pStyle w:val="Heading2"/>
      </w:pPr>
      <w:r>
        <w:t>Reunidos</w:t>
      </w:r>
    </w:p>
    <w:p>
      <w:pPr>
        <w:jc w:val="both"/>
      </w:pPr>
      <w:r>
        <w:rPr>
          <w:rFonts w:ascii="Arial" w:hAnsi="Arial"/>
        </w:rPr>
        <w:t xml:space="preserve">De una parte, </w:t>
      </w:r>
      <w:r>
        <w:rPr>
          <w:rFonts w:ascii="Arial" w:hAnsi="Arial"/>
          <w:b/>
          <w:color w:val="397CDD"/>
          <w:shd w:fill="E5EFFC"/>
        </w:rPr>
        <w:t>{{PROGENITOR_A}}</w:t>
      </w:r>
      <w:r>
        <w:rPr>
          <w:rFonts w:ascii="Arial" w:hAnsi="Arial"/>
        </w:rPr>
        <w:t xml:space="preserve">, con DNI/NIE </w:t>
      </w:r>
      <w:r>
        <w:rPr>
          <w:rFonts w:ascii="Arial" w:hAnsi="Arial"/>
          <w:b/>
          <w:color w:val="397CDD"/>
          <w:shd w:fill="E5EFFC"/>
        </w:rPr>
        <w:t>{{DNI_A}}</w:t>
      </w:r>
      <w:r>
        <w:rPr>
          <w:rFonts w:ascii="Arial" w:hAnsi="Arial"/>
        </w:rPr>
        <w:t xml:space="preserve"> y domicilio en </w:t>
      </w:r>
      <w:r>
        <w:rPr>
          <w:rFonts w:ascii="Arial" w:hAnsi="Arial"/>
          <w:b/>
          <w:color w:val="397CDD"/>
          <w:shd w:fill="E5EFFC"/>
        </w:rPr>
        <w:t>{{DOMICILIO_A}}</w:t>
      </w:r>
      <w:r>
        <w:rPr>
          <w:rFonts w:ascii="Arial" w:hAnsi="Arial"/>
        </w:rPr>
        <w:t>.</w:t>
      </w:r>
    </w:p>
    <w:p>
      <w:pPr>
        <w:jc w:val="both"/>
      </w:pPr>
      <w:r>
        <w:rPr>
          <w:rFonts w:ascii="Arial" w:hAnsi="Arial"/>
        </w:rPr>
        <w:t xml:space="preserve">De otra parte, </w:t>
      </w:r>
      <w:r>
        <w:rPr>
          <w:rFonts w:ascii="Arial" w:hAnsi="Arial"/>
          <w:b/>
          <w:color w:val="397CDD"/>
          <w:shd w:fill="E5EFFC"/>
        </w:rPr>
        <w:t>{{PROGENITOR_B}}</w:t>
      </w:r>
      <w:r>
        <w:rPr>
          <w:rFonts w:ascii="Arial" w:hAnsi="Arial"/>
        </w:rPr>
        <w:t xml:space="preserve">, con DNI/NIE </w:t>
      </w:r>
      <w:r>
        <w:rPr>
          <w:rFonts w:ascii="Arial" w:hAnsi="Arial"/>
          <w:b/>
          <w:color w:val="397CDD"/>
          <w:shd w:fill="E5EFFC"/>
        </w:rPr>
        <w:t>{{DNI_B}}</w:t>
      </w:r>
      <w:r>
        <w:rPr>
          <w:rFonts w:ascii="Arial" w:hAnsi="Arial"/>
        </w:rPr>
        <w:t xml:space="preserve"> y domicilio en </w:t>
      </w:r>
      <w:r>
        <w:rPr>
          <w:rFonts w:ascii="Arial" w:hAnsi="Arial"/>
          <w:b/>
          <w:color w:val="397CDD"/>
          <w:shd w:fill="E5EFFC"/>
        </w:rPr>
        <w:t>{{DOMICILIO_B}}</w:t>
      </w:r>
      <w:r>
        <w:rPr>
          <w:rFonts w:ascii="Arial" w:hAnsi="Arial"/>
        </w:rPr>
        <w:t>.</w:t>
      </w:r>
    </w:p>
    <w:p>
      <w:pPr>
        <w:jc w:val="both"/>
      </w:pPr>
      <w:r>
        <w:rPr>
          <w:rFonts w:ascii="Arial" w:hAnsi="Arial"/>
        </w:rPr>
        <w:t>Ambas partes reconocen capacidad suficiente para suscribir esta propuesta y manifiestan su voluntad de regular de común acuerdo los efectos de su ruptura.</w:t>
      </w:r>
    </w:p>
    <w:p>
      <w:pPr>
        <w:pStyle w:val="Heading2"/>
      </w:pPr>
      <w:r>
        <w:t>Antecedentes</w:t>
      </w:r>
    </w:p>
    <w:p>
      <w:pPr>
        <w:jc w:val="both"/>
      </w:pPr>
      <w:r>
        <w:rPr>
          <w:rFonts w:ascii="Arial" w:hAnsi="Arial"/>
        </w:rPr>
        <w:t xml:space="preserve">La relación o matrimonio se inició el </w:t>
      </w:r>
      <w:r>
        <w:rPr>
          <w:rFonts w:ascii="Arial" w:hAnsi="Arial"/>
          <w:b/>
          <w:color w:val="397CDD"/>
          <w:shd w:fill="E5EFFC"/>
        </w:rPr>
        <w:t>{{FECHA_INICIO}}</w:t>
      </w:r>
      <w:r>
        <w:rPr>
          <w:rFonts w:ascii="Arial" w:hAnsi="Arial"/>
        </w:rPr>
        <w:t xml:space="preserve">. Los hijos comunes son </w:t>
      </w:r>
      <w:r>
        <w:rPr>
          <w:rFonts w:ascii="Arial" w:hAnsi="Arial"/>
          <w:b/>
          <w:color w:val="397CDD"/>
          <w:shd w:fill="E5EFFC"/>
        </w:rPr>
        <w:t>{{HIJOS_Y_FECHAS_NACIMIENTO}}</w:t>
      </w:r>
      <w:r>
        <w:rPr>
          <w:rFonts w:ascii="Arial" w:hAnsi="Arial"/>
        </w:rPr>
        <w:t>.</w:t>
      </w:r>
    </w:p>
    <w:p>
      <w:pPr>
        <w:jc w:val="both"/>
      </w:pPr>
      <w:r>
        <w:rPr>
          <w:rFonts w:ascii="Arial" w:hAnsi="Arial"/>
        </w:rPr>
        <w:t xml:space="preserve">El último domicilio familiar se encuentra en </w:t>
      </w:r>
      <w:r>
        <w:rPr>
          <w:rFonts w:ascii="Arial" w:hAnsi="Arial"/>
          <w:b/>
          <w:color w:val="397CDD"/>
          <w:shd w:fill="E5EFFC"/>
        </w:rPr>
        <w:t>{{DOMICILIO_FAMILIAR}}</w:t>
      </w:r>
      <w:r>
        <w:rPr>
          <w:rFonts w:ascii="Arial" w:hAnsi="Arial"/>
        </w:rPr>
        <w:t xml:space="preserve">. El régimen económico matrimonial, cuando exista, es </w:t>
      </w:r>
      <w:r>
        <w:rPr>
          <w:rFonts w:ascii="Arial" w:hAnsi="Arial"/>
          <w:b/>
          <w:color w:val="397CDD"/>
          <w:shd w:fill="E5EFFC"/>
        </w:rPr>
        <w:t>{{REGIMEN_ECONOMICO}}</w:t>
      </w:r>
      <w:r>
        <w:rPr>
          <w:rFonts w:ascii="Arial" w:hAnsi="Arial"/>
        </w:rPr>
        <w:t>.</w:t>
      </w:r>
    </w:p>
    <w:p>
      <w:pPr>
        <w:jc w:val="both"/>
      </w:pPr>
      <w:r>
        <w:rPr>
          <w:rFonts w:ascii="Arial" w:hAnsi="Arial"/>
        </w:rPr>
        <w:t>Las partes declaran que la información económica y familiar utilizada para este acuerdo es completa y actual.</w:t>
      </w:r>
    </w:p>
    <w:p>
      <w:pPr>
        <w:pStyle w:val="Heading2"/>
      </w:pPr>
      <w:r>
        <w:t>Patria potestad y decisiones</w:t>
      </w:r>
    </w:p>
    <w:p>
      <w:pPr>
        <w:jc w:val="both"/>
      </w:pPr>
      <w:r>
        <w:rPr>
          <w:rFonts w:ascii="Arial" w:hAnsi="Arial"/>
        </w:rPr>
        <w:t>La patria potestad continuará siendo compartida. Las decisiones relevantes sobre salud, educación, residencia, documentación, actividades de especial trascendencia y salida al extranjero se adoptarán de común acuerdo por un canal que deje constancia.</w:t>
      </w:r>
    </w:p>
    <w:p>
      <w:pPr>
        <w:pStyle w:val="Heading2"/>
      </w:pPr>
      <w:r>
        <w:t>Guarda, calendario y entregas</w:t>
      </w:r>
    </w:p>
    <w:p>
      <w:pPr>
        <w:jc w:val="both"/>
      </w:pPr>
      <w:r>
        <w:rPr>
          <w:rFonts w:ascii="Arial" w:hAnsi="Arial"/>
        </w:rPr>
        <w:t xml:space="preserve">La guarda se ejercerá por periodos </w:t>
      </w:r>
      <w:r>
        <w:rPr>
          <w:rFonts w:ascii="Arial" w:hAnsi="Arial"/>
          <w:b/>
          <w:color w:val="397CDD"/>
          <w:shd w:fill="E5EFFC"/>
        </w:rPr>
        <w:t>{{PERIODICIDAD_CUSTODIA}}</w:t>
      </w:r>
      <w:r>
        <w:rPr>
          <w:rFonts w:ascii="Arial" w:hAnsi="Arial"/>
        </w:rPr>
        <w:t xml:space="preserve">. El cambio tendrá lugar </w:t>
      </w:r>
      <w:r>
        <w:rPr>
          <w:rFonts w:ascii="Arial" w:hAnsi="Arial"/>
          <w:b/>
          <w:color w:val="397CDD"/>
          <w:shd w:fill="E5EFFC"/>
        </w:rPr>
        <w:t>{{LUGAR_HORA_ENTREGA}}</w:t>
      </w:r>
      <w:r>
        <w:rPr>
          <w:rFonts w:ascii="Arial" w:hAnsi="Arial"/>
        </w:rPr>
        <w:t>.</w:t>
      </w:r>
    </w:p>
    <w:p>
      <w:pPr>
        <w:jc w:val="both"/>
      </w:pPr>
      <w:r>
        <w:rPr>
          <w:rFonts w:ascii="Arial" w:hAnsi="Arial"/>
        </w:rPr>
        <w:t xml:space="preserve">Vacaciones escolares, Navidad, Semana Santa, verano, cumpleaños y días señalados se distribuirán conforme al calendario anexo </w:t>
      </w:r>
      <w:r>
        <w:rPr>
          <w:rFonts w:ascii="Arial" w:hAnsi="Arial"/>
          <w:b/>
          <w:color w:val="397CDD"/>
          <w:shd w:fill="E5EFFC"/>
        </w:rPr>
        <w:t>{{CALENDARIO_ANEXO}}</w:t>
      </w:r>
      <w:r>
        <w:rPr>
          <w:rFonts w:ascii="Arial" w:hAnsi="Arial"/>
        </w:rPr>
        <w:t>.</w:t>
      </w:r>
    </w:p>
    <w:p>
      <w:pPr>
        <w:pStyle w:val="Heading2"/>
      </w:pPr>
      <w:r>
        <w:t>Domicilio, comunicaciones y viajes</w:t>
      </w:r>
    </w:p>
    <w:p>
      <w:pPr>
        <w:jc w:val="both"/>
      </w:pPr>
      <w:r>
        <w:rPr>
          <w:rFonts w:ascii="Arial" w:hAnsi="Arial"/>
        </w:rPr>
        <w:t>Cada progenitor comunicará su domicilio y un medio de contacto actualizado. Los menores podrán comunicarse razonablemente con el otro progenitor sin interferencias.</w:t>
      </w:r>
    </w:p>
    <w:p>
      <w:pPr>
        <w:jc w:val="both"/>
      </w:pPr>
      <w:r>
        <w:rPr>
          <w:rFonts w:ascii="Arial" w:hAnsi="Arial"/>
        </w:rPr>
        <w:t xml:space="preserve">Los viajes al extranjero y la expedición o custodia de pasaportes se regirán por </w:t>
      </w:r>
      <w:r>
        <w:rPr>
          <w:rFonts w:ascii="Arial" w:hAnsi="Arial"/>
          <w:b/>
          <w:color w:val="397CDD"/>
          <w:shd w:fill="E5EFFC"/>
        </w:rPr>
        <w:t>{{REGLA_VIAJES}}</w:t>
      </w:r>
      <w:r>
        <w:rPr>
          <w:rFonts w:ascii="Arial" w:hAnsi="Arial"/>
        </w:rPr>
        <w:t>.</w:t>
      </w:r>
    </w:p>
    <w:p>
      <w:pPr>
        <w:pStyle w:val="Heading2"/>
      </w:pPr>
      <w:r>
        <w:t>Alimentos y gastos</w:t>
      </w:r>
    </w:p>
    <w:p>
      <w:pPr>
        <w:jc w:val="both"/>
      </w:pPr>
      <w:r>
        <w:rPr>
          <w:rFonts w:ascii="Arial" w:hAnsi="Arial"/>
        </w:rPr>
        <w:t xml:space="preserve">Los gastos ordinarios se atenderán mediante </w:t>
      </w:r>
      <w:r>
        <w:rPr>
          <w:rFonts w:ascii="Arial" w:hAnsi="Arial"/>
          <w:b/>
          <w:color w:val="397CDD"/>
          <w:shd w:fill="E5EFFC"/>
        </w:rPr>
        <w:t>{{SISTEMA_GASTOS_ORDINARIOS}}</w:t>
      </w:r>
      <w:r>
        <w:rPr>
          <w:rFonts w:ascii="Arial" w:hAnsi="Arial"/>
        </w:rPr>
        <w:t xml:space="preserve">. Cada progenitor ingresará </w:t>
      </w:r>
      <w:r>
        <w:rPr>
          <w:rFonts w:ascii="Arial" w:hAnsi="Arial"/>
          <w:b/>
          <w:color w:val="397CDD"/>
          <w:shd w:fill="E5EFFC"/>
        </w:rPr>
        <w:t>{{APORTACION_A}}</w:t>
      </w:r>
      <w:r>
        <w:rPr>
          <w:rFonts w:ascii="Arial" w:hAnsi="Arial"/>
        </w:rPr>
        <w:t xml:space="preserve"> y </w:t>
      </w:r>
      <w:r>
        <w:rPr>
          <w:rFonts w:ascii="Arial" w:hAnsi="Arial"/>
          <w:b/>
          <w:color w:val="397CDD"/>
          <w:shd w:fill="E5EFFC"/>
        </w:rPr>
        <w:t>{{APORTACION_B}}</w:t>
      </w:r>
      <w:r>
        <w:rPr>
          <w:rFonts w:ascii="Arial" w:hAnsi="Arial"/>
        </w:rPr>
        <w:t xml:space="preserve"> antes del día </w:t>
      </w:r>
      <w:r>
        <w:rPr>
          <w:rFonts w:ascii="Arial" w:hAnsi="Arial"/>
          <w:b/>
          <w:color w:val="397CDD"/>
          <w:shd w:fill="E5EFFC"/>
        </w:rPr>
        <w:t>{{DIA_INGRESO}}</w:t>
      </w:r>
      <w:r>
        <w:rPr>
          <w:rFonts w:ascii="Arial" w:hAnsi="Arial"/>
        </w:rPr>
        <w:t>.</w:t>
      </w:r>
    </w:p>
    <w:p>
      <w:pPr>
        <w:jc w:val="both"/>
      </w:pPr>
      <w:r>
        <w:rPr>
          <w:rFonts w:ascii="Arial" w:hAnsi="Arial"/>
        </w:rPr>
        <w:t xml:space="preserve">Los gastos extraordinarios necesarios se abonarán en proporción </w:t>
      </w:r>
      <w:r>
        <w:rPr>
          <w:rFonts w:ascii="Arial" w:hAnsi="Arial"/>
          <w:b/>
          <w:color w:val="397CDD"/>
          <w:shd w:fill="E5EFFC"/>
        </w:rPr>
        <w:t>{{PORCENTAJE_EXTRAORDINARIOS}}</w:t>
      </w:r>
      <w:r>
        <w:rPr>
          <w:rFonts w:ascii="Arial" w:hAnsi="Arial"/>
        </w:rPr>
        <w:t>, con comunicación previa salvo urgencia. Los voluntarios requerirán acuerdo escrito.</w:t>
      </w:r>
    </w:p>
    <w:p>
      <w:pPr>
        <w:pStyle w:val="Heading2"/>
      </w:pPr>
      <w:r>
        <w:t>Vivienda, cargas y animales</w:t>
      </w:r>
    </w:p>
    <w:p>
      <w:pPr>
        <w:jc w:val="both"/>
      </w:pPr>
      <w:r>
        <w:rPr>
          <w:rFonts w:ascii="Arial" w:hAnsi="Arial"/>
        </w:rPr>
        <w:t xml:space="preserve">El uso de la vivienda familiar se atribuye a </w:t>
      </w:r>
      <w:r>
        <w:rPr>
          <w:rFonts w:ascii="Arial" w:hAnsi="Arial"/>
          <w:b/>
          <w:color w:val="397CDD"/>
          <w:shd w:fill="E5EFFC"/>
        </w:rPr>
        <w:t>{{USO_VIVIENDA}}</w:t>
      </w:r>
      <w:r>
        <w:rPr>
          <w:rFonts w:ascii="Arial" w:hAnsi="Arial"/>
        </w:rPr>
        <w:t xml:space="preserve"> hasta </w:t>
      </w:r>
      <w:r>
        <w:rPr>
          <w:rFonts w:ascii="Arial" w:hAnsi="Arial"/>
          <w:b/>
          <w:color w:val="397CDD"/>
          <w:shd w:fill="E5EFFC"/>
        </w:rPr>
        <w:t>{{LIMITE_USO}}</w:t>
      </w:r>
      <w:r>
        <w:rPr>
          <w:rFonts w:ascii="Arial" w:hAnsi="Arial"/>
        </w:rPr>
        <w:t xml:space="preserve">. Hipoteca, alquiler, suministros y demás cargas se atenderán conforme a </w:t>
      </w:r>
      <w:r>
        <w:rPr>
          <w:rFonts w:ascii="Arial" w:hAnsi="Arial"/>
          <w:b/>
          <w:color w:val="397CDD"/>
          <w:shd w:fill="E5EFFC"/>
        </w:rPr>
        <w:t>{{REPARTO_CARGAS}}</w:t>
      </w:r>
      <w:r>
        <w:rPr>
          <w:rFonts w:ascii="Arial" w:hAnsi="Arial"/>
        </w:rPr>
        <w:t>.</w:t>
      </w:r>
    </w:p>
    <w:p>
      <w:pPr>
        <w:jc w:val="both"/>
      </w:pPr>
      <w:r>
        <w:rPr>
          <w:rFonts w:ascii="Arial" w:hAnsi="Arial"/>
        </w:rPr>
        <w:t xml:space="preserve">El cuidado y gastos de los animales de compañía se organizan así: </w:t>
      </w:r>
      <w:r>
        <w:rPr>
          <w:rFonts w:ascii="Arial" w:hAnsi="Arial"/>
          <w:b/>
          <w:color w:val="397CDD"/>
          <w:shd w:fill="E5EFFC"/>
        </w:rPr>
        <w:t>{{ANIMALES_COMPANIA}}</w:t>
      </w:r>
      <w:r>
        <w:rPr>
          <w:rFonts w:ascii="Arial" w:hAnsi="Arial"/>
        </w:rPr>
        <w:t>.</w:t>
      </w:r>
    </w:p>
    <w:p>
      <w:pPr>
        <w:pStyle w:val="Heading2"/>
      </w:pPr>
      <w:r>
        <w:t>Revisión y solución de desacuerdos</w:t>
      </w:r>
    </w:p>
    <w:p>
      <w:pPr>
        <w:jc w:val="both"/>
      </w:pPr>
      <w:r>
        <w:rPr>
          <w:rFonts w:ascii="Arial" w:hAnsi="Arial"/>
        </w:rPr>
        <w:t>Las medidas podrán revisarse si cambian sustancialmente las necesidades de los hijos o las circunstancias de los progenitores. Antes de acudir a la vía contenciosa, las partes intentarán negociación o mediación cuando legalmente proceda.</w:t>
      </w:r>
    </w:p>
    <w:p>
      <w:pPr>
        <w:pStyle w:val="Heading2"/>
      </w:pPr>
      <w:r>
        <w:t>Petición o acuerdo final</w:t>
      </w:r>
    </w:p>
    <w:p>
      <w:r>
        <w:rPr>
          <w:rFonts w:ascii="Arial" w:hAnsi="Arial"/>
        </w:rPr>
        <w:t xml:space="preserve">En </w:t>
      </w:r>
      <w:r>
        <w:rPr>
          <w:rFonts w:ascii="Arial" w:hAnsi="Arial"/>
          <w:b/>
          <w:color w:val="397CDD"/>
          <w:shd w:fill="E5EFFC"/>
        </w:rPr>
        <w:t>{{LOCALIDAD}}</w:t>
      </w:r>
      <w:r>
        <w:rPr>
          <w:rFonts w:ascii="Arial" w:hAnsi="Arial"/>
        </w:rPr>
        <w:t xml:space="preserve">, a </w:t>
      </w:r>
      <w:r>
        <w:rPr>
          <w:rFonts w:ascii="Arial" w:hAnsi="Arial"/>
          <w:b/>
          <w:color w:val="397CDD"/>
          <w:shd w:fill="E5EFFC"/>
        </w:rPr>
        <w:t>{{FECHA_FIRMA}}</w:t>
      </w:r>
      <w:r>
        <w:rPr>
          <w:rFonts w:ascii="Arial" w:hAnsi="Arial"/>
        </w:rPr>
        <w:t xml:space="preserve">. Se firma o presenta por </w:t>
      </w:r>
      <w:r>
        <w:rPr>
          <w:rFonts w:ascii="Arial" w:hAnsi="Arial"/>
          <w:b/>
          <w:color w:val="397CDD"/>
          <w:shd w:fill="E5EFFC"/>
        </w:rPr>
        <w:t>{{FIRMANTES_O_REPRESENTANTE}}</w:t>
      </w:r>
      <w:r>
        <w:rPr>
          <w:rFonts w:ascii="Arial" w:hAnsi="Arial"/>
        </w:rPr>
        <w:t>.</w:t>
      </w:r>
    </w:p>
    <w:tbl>
      <w:tblPr>
        <w:tblW w:type="dxa" w:w="9532"/>
        <w:tblLayout w:type="fixed"/>
        <w:tblLook w:firstColumn="1" w:firstRow="1" w:lastColumn="0" w:lastRow="0" w:noHBand="0" w:noVBand="1" w:val="04A0"/>
        <w:tblInd w:w="0" w:type="dxa"/>
      </w:tblPr>
      <w:tblGrid>
        <w:gridCol w:w="4766"/>
        <w:gridCol w:w="4766"/>
      </w:tblGrid>
      <w:tr>
        <w:tc>
          <w:tcPr>
            <w:tcW w:type="dxa" w:w="4766"/>
            <w:shd w:fill="EFF4FC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sz w:val="18"/>
              </w:rPr>
              <w:t>Firma / identificación</w:t>
            </w:r>
          </w:p>
        </w:tc>
        <w:tc>
          <w:tcPr>
            <w:tcW w:type="dxa" w:w="4766"/>
            <w:shd w:fill="EFF4FC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sz w:val="18"/>
              </w:rPr>
              <w:t>Firma / representación</w:t>
            </w:r>
          </w:p>
        </w:tc>
      </w:tr>
      <w:tr>
        <w:tc>
          <w:tcPr>
            <w:tcW w:type="dxa" w:w="4766"/>
            <w:tcMar>
              <w:top w:w="300" w:type="dxa"/>
              <w:start w:w="140" w:type="dxa"/>
              <w:bottom w:w="320" w:type="dxa"/>
              <w:end w:w="140" w:type="dxa"/>
            </w:tcMar>
          </w:tcPr>
          <w:p>
            <w:r>
              <w:rPr>
                <w:rFonts w:ascii="Arial" w:hAnsi="Arial"/>
                <w:b/>
                <w:color w:val="397CDD"/>
                <w:shd w:fill="E5EFFC"/>
              </w:rPr>
              <w:t>{{NOMBRE_Y_FIRMA}}</w:t>
            </w:r>
          </w:p>
        </w:tc>
        <w:tc>
          <w:tcPr>
            <w:tcW w:type="dxa" w:w="4766"/>
            <w:tcMar>
              <w:top w:w="300" w:type="dxa"/>
              <w:start w:w="140" w:type="dxa"/>
              <w:bottom w:w="320" w:type="dxa"/>
              <w:end w:w="140" w:type="dxa"/>
            </w:tcMar>
          </w:tcPr>
          <w:p>
            <w:r>
              <w:rPr>
                <w:rFonts w:ascii="Arial" w:hAnsi="Arial"/>
                <w:b/>
                <w:color w:val="397CDD"/>
                <w:shd w:fill="E5EFFC"/>
              </w:rPr>
              <w:t>{{NOMBRE_Y_FIRMA}}</w:t>
            </w:r>
          </w:p>
        </w:tc>
      </w:tr>
    </w:tbl>
    <w:p>
      <w:pPr>
        <w:keepNext/>
        <w:spacing w:before="160" w:after="160"/>
        <w:jc w:val="center"/>
        <w:pBdr>
          <w:bottom w:val="single" w:sz="10" w:space="5" w:color="D7A46D"/>
        </w:pBdr>
      </w:pPr>
      <w:r>
        <w:rPr>
          <w:rFonts w:ascii="Georgia" w:hAnsi="Georgia"/>
          <w:b/>
          <w:color w:val="17233C"/>
          <w:sz w:val="31"/>
        </w:rPr>
        <w:t>GUÍA DE REVISIÓN</w:t>
      </w:r>
    </w:p>
    <w:p>
      <w:pPr>
        <w:spacing w:after="240"/>
        <w:jc w:val="center"/>
      </w:pPr>
      <w:r>
        <w:rPr>
          <w:rFonts w:ascii="Arial" w:hAnsi="Arial"/>
          <w:b/>
          <w:color w:val="667085"/>
          <w:sz w:val="16"/>
        </w:rPr>
        <w:t>MATERIAL DE APOYO · ELIMINA ESTA PARTE ANTES DE FIRMAR O PRESENTAR</w:t>
      </w:r>
    </w:p>
    <w:p>
      <w:pPr>
        <w:pStyle w:val="Heading1"/>
      </w:pPr>
      <w:r>
        <w:t>Comprobación antes de firmar o presentar</w:t>
      </w:r>
    </w:p>
    <w:p>
      <w:pPr>
        <w:pStyle w:val="ListBullet"/>
        <w:spacing w:after="70"/>
        <w:ind w:left="490" w:hanging="230"/>
      </w:pPr>
      <w:r>
        <w:rPr>
          <w:rFonts w:ascii="Arial" w:hAnsi="Arial"/>
        </w:rPr>
        <w:t>Certificados de matrimonio y nacimiento</w:t>
      </w:r>
    </w:p>
    <w:p>
      <w:pPr>
        <w:pStyle w:val="ListBullet"/>
        <w:spacing w:after="70"/>
        <w:ind w:left="490" w:hanging="230"/>
      </w:pPr>
      <w:r>
        <w:rPr>
          <w:rFonts w:ascii="Arial" w:hAnsi="Arial"/>
        </w:rPr>
        <w:t>Ingresos, vivienda, préstamos y gastos de los hijos</w:t>
      </w:r>
    </w:p>
    <w:p>
      <w:pPr>
        <w:pStyle w:val="ListBullet"/>
        <w:spacing w:after="70"/>
        <w:ind w:left="490" w:hanging="230"/>
      </w:pPr>
      <w:r>
        <w:rPr>
          <w:rFonts w:ascii="Arial" w:hAnsi="Arial"/>
        </w:rPr>
        <w:t>Calendario escolar y laboral</w:t>
      </w:r>
    </w:p>
    <w:p>
      <w:pPr>
        <w:pStyle w:val="ListBullet"/>
        <w:spacing w:after="70"/>
        <w:ind w:left="490" w:hanging="230"/>
      </w:pPr>
      <w:r>
        <w:rPr>
          <w:rFonts w:ascii="Arial" w:hAnsi="Arial"/>
        </w:rPr>
        <w:t>Necesidades especiales, sanitarias o educativas</w:t>
      </w:r>
    </w:p>
    <w:p>
      <w:pPr>
        <w:pStyle w:val="ListBullet"/>
        <w:spacing w:after="70"/>
        <w:ind w:left="490" w:hanging="230"/>
      </w:pPr>
      <w:r>
        <w:rPr>
          <w:rFonts w:ascii="Arial" w:hAnsi="Arial"/>
        </w:rPr>
        <w:t>Inventario patrimonial si se pretende liquidar el régimen económico</w:t>
      </w:r>
    </w:p>
    <w:tbl>
      <w:tblPr>
        <w:tblW w:type="dxa" w:w="9533"/>
        <w:tblLayout w:type="fixed"/>
        <w:tblLook w:firstColumn="1" w:firstRow="1" w:lastColumn="0" w:lastRow="0" w:noHBand="0" w:noVBand="1" w:val="04A0"/>
        <w:tblInd w:w="0" w:type="dxa"/>
      </w:tblPr>
      <w:tblGrid>
        <w:gridCol w:w="9533"/>
      </w:tblGrid>
      <w:tr>
        <w:tc>
          <w:tcPr>
            <w:tcW w:type="dxa" w:w="9533"/>
            <w:shd w:fill="EFF4FC"/>
            <w:tcMar>
              <w:top w:w="135" w:type="dxa"/>
              <w:start w:w="170" w:type="dxa"/>
              <w:bottom w:w="135" w:type="dxa"/>
              <w:end w:w="170" w:type="dxa"/>
            </w:tcMar>
            <w:vAlign w:val="center"/>
          </w:tcPr>
          <w:p>
            <w:pPr>
              <w:spacing w:after="80"/>
            </w:pPr>
            <w:r>
              <w:rPr>
                <w:rFonts w:ascii="Arial" w:hAnsi="Arial"/>
                <w:b/>
                <w:color w:val="17233C"/>
                <w:sz w:val="21"/>
              </w:rPr>
              <w:t>Puntos que requieren especial atención</w:t>
            </w:r>
          </w:p>
          <w:p>
            <w:pPr>
              <w:spacing w:after="40"/>
            </w:pPr>
            <w:r>
              <w:rPr>
                <w:rFonts w:ascii="Arial" w:hAnsi="Arial"/>
              </w:rPr>
              <w:t>La custodia compartida no elimina automáticamente una posible pensión de alimentos.</w:t>
            </w:r>
          </w:p>
          <w:p>
            <w:pPr>
              <w:spacing w:after="40"/>
            </w:pPr>
            <w:r>
              <w:rPr>
                <w:rFonts w:ascii="Arial" w:hAnsi="Arial"/>
              </w:rPr>
              <w:t>El interés de los menores prevalece y el convenio necesita aprobación o formalización legal.</w:t>
            </w:r>
          </w:p>
          <w:p>
            <w:pPr>
              <w:spacing w:after="40"/>
            </w:pPr>
            <w:r>
              <w:rPr>
                <w:rFonts w:ascii="Arial" w:hAnsi="Arial"/>
              </w:rPr>
              <w:t>Si existe violencia, riesgo, sustracción internacional o desacuerdo grave, no utilices el modelo sin revisión inmediata.</w:t>
            </w:r>
          </w:p>
        </w:tc>
      </w:tr>
    </w:tbl>
    <w:p>
      <w:pPr>
        <w:spacing w:after="0"/>
      </w:pPr>
    </w:p>
    <w:p>
      <w:pPr>
        <w:pStyle w:val="Heading1"/>
      </w:pPr>
      <w:r>
        <w:t>Fuentes de referencia</w:t>
      </w:r>
    </w:p>
    <w:p>
      <w:r>
        <w:rPr>
          <w:b/>
        </w:rPr>
        <w:t>Código Civil, arts. 90 a 94</w:t>
      </w:r>
      <w:r>
        <w:t xml:space="preserve"> — https://www.boe.es/buscar/act.php?id=BOE-A-1889-4763</w:t>
      </w:r>
    </w:p>
    <w:p>
      <w:r>
        <w:rPr>
          <w:b/>
        </w:rPr>
        <w:t>Ley de Jurisdicción Voluntaria</w:t>
      </w:r>
      <w:r>
        <w:t xml:space="preserve"> — https://www.boe.es/buscar/act.php?id=BOE-A-2015-7391</w:t>
      </w:r>
    </w:p>
    <w:p>
      <w:pPr>
        <w:spacing w:before="120"/>
      </w:pPr>
      <w:r>
        <w:rPr>
          <w:i/>
          <w:color w:val="667085"/>
          <w:sz w:val="16"/>
        </w:rPr>
        <w:t>Versión revisada: 2026-08-24. Información jurídica general; normativa y procedimiento deben comprobarse en la fecha de uso.</w:t>
      </w:r>
    </w:p>
    <w:sectPr w:rsidR="00FC693F" w:rsidRPr="0006063C" w:rsidSect="00034616">
      <w:headerReference w:type="default" r:id="rId9"/>
      <w:footerReference w:type="default" r:id="rId10"/>
      <w:pgSz w:w="11905" w:h="16838"/>
      <w:pgMar w:top="1008" w:right="1187" w:bottom="950" w:left="1187" w:header="389" w:footer="38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dxa" w:w="9533"/>
      <w:tblLayout w:type="fixed"/>
      <w:tblLook w:firstColumn="1" w:firstRow="1" w:lastColumn="0" w:lastRow="0" w:noHBand="0" w:noVBand="1" w:val="04A0"/>
      <w:tblInd w:w="0" w:type="dxa"/>
    </w:tblPr>
    <w:tblGrid>
      <w:gridCol w:w="8237"/>
      <w:gridCol w:w="1296"/>
    </w:tblGrid>
    <w:tr>
      <w:tc>
        <w:tcPr>
          <w:tcW w:type="dxa" w:w="8237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spacing w:after="0"/>
          </w:pPr>
          <w:r>
            <w:rPr>
              <w:rFonts w:ascii="Arial" w:hAnsi="Arial"/>
              <w:color w:val="667085"/>
              <w:sz w:val="14"/>
            </w:rPr>
            <w:t>Modelo orientativo · Revisión profesional recomendada · perezburgosabogados.es</w:t>
          </w:r>
        </w:p>
      </w:tc>
      <w:tc>
        <w:tcPr>
          <w:tcW w:type="dxa" w:w="1296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jc w:val="right"/>
          </w:pPr>
          <w:r>
            <w:fldChar w:fldCharType="begin"/>
            <w:instrText xml:space="preserve">PAGE</w:instrText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Georgia" w:hAnsi="Georgia"/>
        <w:b/>
        <w:color w:val="17233C"/>
        <w:sz w:val="18"/>
      </w:rPr>
      <w:t>PÉREZ &amp; BURGOS</w:t>
    </w:r>
    <w:r>
      <w:rPr>
        <w:rFonts w:ascii="Arial" w:hAnsi="Arial"/>
        <w:b/>
        <w:color w:val="397CDD"/>
        <w:sz w:val="15"/>
      </w:rPr>
      <w:t xml:space="preserve">  ·  MODELOS JURÍDICOS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78" w:lineRule="auto"/>
      <w:jc w:val="both"/>
    </w:pPr>
    <w:rPr>
      <w:rFonts w:ascii="Arial" w:hAnsi="Arial"/>
      <w:color w:val="263044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60" w:after="140"/>
      <w:outlineLvl w:val="0"/>
    </w:pPr>
    <w:rPr>
      <w:rFonts w:asciiTheme="majorHAnsi" w:eastAsiaTheme="majorEastAsia" w:hAnsiTheme="majorHAnsi" w:cstheme="majorBidi" w:ascii="Georgia" w:hAnsi="Georgia"/>
      <w:b/>
      <w:bCs/>
      <w:color w:val="17233C"/>
      <w:sz w:val="31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80"/>
      <w:outlineLvl w:val="1"/>
    </w:pPr>
    <w:rPr>
      <w:rFonts w:asciiTheme="majorHAnsi" w:eastAsiaTheme="majorEastAsia" w:hAnsiTheme="majorHAnsi" w:cstheme="majorBidi" w:ascii="Georgia" w:hAnsi="Georgia"/>
      <w:b/>
      <w:bCs/>
      <w:color w:val="17233C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Georgia" w:hAnsi="Georgia"/>
      <w:b/>
      <w:bCs/>
      <w:color w:val="17233C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Modelo jurídico editable de Pérez &amp; Burgos Abogados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