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left"/>
      </w:pPr>
      <w:r>
        <w:t>SOCIEDADES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Contrato de sociedad civil sencilla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Base para socios que aportan dinero o bienes muebles a una actividad civil común, con reglas de gestión, resultados y liquidación.</w:t>
      </w:r>
    </w:p>
    <w:p>
      <w:pPr>
        <w:pStyle w:val="Heading2"/>
      </w:pPr>
      <w:r>
        <w:t>Reunidos</w:t>
      </w:r>
    </w:p>
    <w:p>
      <w:pPr>
        <w:jc w:val="left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A, IDENTIFICACIÓN Y DOMICILIO]</w:t>
      </w:r>
      <w:r>
        <w:rPr>
          <w:rFonts w:ascii="Arial" w:hAnsi="Arial"/>
        </w:rPr>
        <w:t xml:space="preserve"> y D./D.ª </w:t>
      </w:r>
      <w:r>
        <w:rPr>
          <w:rFonts w:ascii="Arial" w:hAnsi="Arial"/>
          <w:b/>
          <w:color w:val="397CDD"/>
          <w:shd w:fill="E5EFFC"/>
        </w:rPr>
        <w:t>[NOMBRE B, IDENTIFICACIÓN Y DOMICILIO]</w:t>
      </w:r>
      <w:r>
        <w:rPr>
          <w:rFonts w:ascii="Arial" w:hAnsi="Arial"/>
        </w:rPr>
        <w:t>, actuando en nombre propio, acuerdan constituir una sociedad civil mediante las siguientes cláusulas.</w:t>
      </w:r>
    </w:p>
    <w:p>
      <w:pPr>
        <w:pStyle w:val="Heading2"/>
      </w:pPr>
      <w:r>
        <w:t>Primera. Objeto, nombre y domicilio</w:t>
      </w:r>
    </w:p>
    <w:p>
      <w:pPr>
        <w:jc w:val="left"/>
      </w:pPr>
      <w:r>
        <w:rPr>
          <w:rFonts w:ascii="Arial" w:hAnsi="Arial"/>
        </w:rPr>
        <w:t xml:space="preserve">La sociedad se denomina </w:t>
      </w:r>
      <w:r>
        <w:rPr>
          <w:rFonts w:ascii="Arial" w:hAnsi="Arial"/>
          <w:b/>
          <w:color w:val="397CDD"/>
          <w:shd w:fill="E5EFFC"/>
        </w:rPr>
        <w:t>[DENOMINACIÓN]</w:t>
      </w:r>
      <w:r>
        <w:rPr>
          <w:rFonts w:ascii="Arial" w:hAnsi="Arial"/>
        </w:rPr>
        <w:t xml:space="preserve">, S.C., y tiene por objeto la actividad civil de </w:t>
      </w:r>
      <w:r>
        <w:rPr>
          <w:rFonts w:ascii="Arial" w:hAnsi="Arial"/>
          <w:b/>
          <w:color w:val="397CDD"/>
          <w:shd w:fill="E5EFFC"/>
        </w:rPr>
        <w:t>[ACTIVIDAD CONCRETA]</w:t>
      </w:r>
      <w:r>
        <w:rPr>
          <w:rFonts w:ascii="Arial" w:hAnsi="Arial"/>
        </w:rPr>
        <w:t xml:space="preserve">. Su domicilio es </w:t>
      </w:r>
      <w:r>
        <w:rPr>
          <w:rFonts w:ascii="Arial" w:hAnsi="Arial"/>
          <w:b/>
          <w:color w:val="397CDD"/>
          <w:shd w:fill="E5EFFC"/>
        </w:rPr>
        <w:t>[DOMICILIO]</w:t>
      </w:r>
      <w:r>
        <w:rPr>
          <w:rFonts w:ascii="Arial" w:hAnsi="Arial"/>
        </w:rPr>
        <w:t>. Los pactos no se mantendrán secretos frente a terceros y quienes actúen por la sociedad expresarán esa condición y su representación.</w:t>
      </w:r>
    </w:p>
    <w:p>
      <w:pPr>
        <w:jc w:val="left"/>
      </w:pPr>
      <w:r>
        <w:rPr>
          <w:rFonts w:ascii="Arial" w:hAnsi="Arial"/>
        </w:rPr>
        <w:t>El presente acuerdo no ampara el ejercicio en común de actividades profesionales reguladas ni actividades que por su naturaleza o régimen exijan otra forma o autorización.</w:t>
      </w:r>
    </w:p>
    <w:p>
      <w:pPr>
        <w:pStyle w:val="Heading2"/>
      </w:pPr>
      <w:r>
        <w:t>Segunda. Aportaciones</w:t>
      </w:r>
    </w:p>
    <w:p>
      <w:pPr>
        <w:jc w:val="left"/>
      </w:pPr>
      <w:r>
        <w:rPr>
          <w:rFonts w:ascii="Arial" w:hAnsi="Arial"/>
        </w:rPr>
        <w:t xml:space="preserve">Cada socio aporta </w:t>
      </w:r>
      <w:r>
        <w:rPr>
          <w:rFonts w:ascii="Arial" w:hAnsi="Arial"/>
          <w:b/>
          <w:color w:val="397CDD"/>
          <w:shd w:fill="E5EFFC"/>
        </w:rPr>
        <w:t>[DINERO O BIENES MUEBLES, IDENTIFICACIÓN, TITULARIDAD, VALOR Y FECHA DE ENTREGA]</w:t>
      </w:r>
      <w:r>
        <w:rPr>
          <w:rFonts w:ascii="Arial" w:hAnsi="Arial"/>
        </w:rPr>
        <w:t xml:space="preserve">, según el anexo I firmado. Las cuotas pactadas son </w:t>
      </w:r>
      <w:r>
        <w:rPr>
          <w:rFonts w:ascii="Arial" w:hAnsi="Arial"/>
          <w:b/>
          <w:color w:val="397CDD"/>
          <w:shd w:fill="E5EFFC"/>
        </w:rPr>
        <w:t>[SOCIO Y PORCENTAJE]</w:t>
      </w:r>
      <w:r>
        <w:rPr>
          <w:rFonts w:ascii="Arial" w:hAnsi="Arial"/>
        </w:rPr>
        <w:t>, con suma del 100 %. No se aportan inmuebles ni derechos reales sobre ellos ni se regula un socio que aporte exclusivamente industria en este modelo.</w:t>
      </w:r>
    </w:p>
    <w:p>
      <w:pPr>
        <w:pStyle w:val="Heading2"/>
      </w:pPr>
      <w:r>
        <w:t>Tercera. Duración</w:t>
      </w:r>
    </w:p>
    <w:p>
      <w:pPr>
        <w:jc w:val="left"/>
      </w:pPr>
      <w:r>
        <w:rPr>
          <w:rFonts w:ascii="Arial" w:hAnsi="Arial"/>
        </w:rPr>
        <w:t xml:space="preserve">La sociedad inicia su actividad el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 y se constituye por tiempo indefinido, sin perjuicio de las causas legales de disolución y de la denuncia de buena fe y en tiempo oportuno prevista en el Código Civil.</w:t>
      </w:r>
    </w:p>
    <w:p>
      <w:pPr>
        <w:pStyle w:val="Heading2"/>
      </w:pPr>
      <w:r>
        <w:t>Cuarta. Gestión y representación</w:t>
      </w:r>
    </w:p>
    <w:p>
      <w:pPr>
        <w:jc w:val="left"/>
      </w:pPr>
      <w:r>
        <w:rPr>
          <w:rFonts w:ascii="Arial" w:hAnsi="Arial"/>
        </w:rPr>
        <w:t>La administración se ejercerá conjuntamente por todos los socios y los actos de gestión requerirán su consentimiento, sin perjuicio de las actuaciones urgentes que legalmente no admitan demora. Los poderes para actuar frente a terceros se otorgarán por separado, delimitando actos, importe y vigencia. Ningún socio podrá utilizar la firma social para fines personales.</w:t>
      </w:r>
    </w:p>
    <w:p>
      <w:pPr>
        <w:pStyle w:val="Heading2"/>
      </w:pPr>
      <w:r>
        <w:t>Quinta. Cuentas y resultados</w:t>
      </w:r>
    </w:p>
    <w:p>
      <w:pPr>
        <w:jc w:val="left"/>
      </w:pPr>
      <w:r>
        <w:rPr>
          <w:rFonts w:ascii="Arial" w:hAnsi="Arial"/>
        </w:rPr>
        <w:t>Se conservará documentación de ingresos, gastos, activos y obligaciones. Se rendirán cuentas trimestrales y un cierre anual a 31 de diciembre, accesibles a todos los socios.</w:t>
      </w:r>
    </w:p>
    <w:p>
      <w:pPr>
        <w:jc w:val="left"/>
      </w:pPr>
      <w:r>
        <w:rPr>
          <w:rFonts w:ascii="Arial" w:hAnsi="Arial"/>
        </w:rPr>
        <w:t>Los beneficios y pérdidas se atribuirán conforme a las cuotas de la cláusula segunda, una vez determinadas las obligaciones y necesidades de la sociedad. Ningún socio queda excluido de toda participación en beneficios o pérdidas. Los anticipos serán documentados y regularizados al cierre.</w:t>
      </w:r>
    </w:p>
    <w:p>
      <w:pPr>
        <w:pStyle w:val="Heading2"/>
      </w:pPr>
      <w:r>
        <w:t>Sexta. Relación con terceros</w:t>
      </w:r>
    </w:p>
    <w:p>
      <w:pPr>
        <w:jc w:val="left"/>
      </w:pPr>
      <w:r>
        <w:rPr>
          <w:rFonts w:ascii="Arial" w:hAnsi="Arial"/>
        </w:rPr>
        <w:t>El contrato no limita la responsabilidad que resulte de la ley ni perjudica derechos de terceros. Las obligaciones fiscales, censales, de Seguridad Social, de contratación y de licencia se determinarán según la actividad y la situación real; no se presume un régimen fiscal por utilizar la expresión sociedad civil.</w:t>
      </w:r>
    </w:p>
    <w:p>
      <w:pPr>
        <w:pStyle w:val="Heading2"/>
      </w:pPr>
      <w:r>
        <w:t>Séptima. Cambios, separación y disolución</w:t>
      </w:r>
    </w:p>
    <w:p>
      <w:pPr>
        <w:jc w:val="left"/>
      </w:pPr>
      <w:r>
        <w:rPr>
          <w:rFonts w:ascii="Arial" w:hAnsi="Arial"/>
        </w:rPr>
        <w:t>La incorporación de nuevos socios y las modificaciones del contrato requerirán acuerdo de todos y la forma que legalmente proceda. La cesión de una participación económica no atribuye por sí sola al cesionario la condición de socio sin los consentimientos necesarios.</w:t>
      </w:r>
    </w:p>
    <w:p>
      <w:pPr>
        <w:jc w:val="left"/>
      </w:pPr>
      <w:r>
        <w:rPr>
          <w:rFonts w:ascii="Arial" w:hAnsi="Arial"/>
        </w:rPr>
        <w:t>La sociedad se disolverá por las causas legales. La denuncia de un socio en una sociedad de duración indefinida deberá comunicarse a todos, de buena fe y en tiempo oportuno. La muerte de un socio se someterá al régimen legal, pues este modelo no contiene pacto especial de continuación.</w:t>
      </w:r>
    </w:p>
    <w:p>
      <w:pPr>
        <w:pStyle w:val="Heading2"/>
      </w:pPr>
      <w:r>
        <w:t>Octava. Liquidación</w:t>
      </w:r>
    </w:p>
    <w:p>
      <w:pPr>
        <w:jc w:val="left"/>
      </w:pPr>
      <w:r>
        <w:rPr>
          <w:rFonts w:ascii="Arial" w:hAnsi="Arial"/>
        </w:rPr>
        <w:t>Abierta la liquidación, se inventariarán bienes, créditos y deudas, se atenderán las obligaciones y se rendirá una cuenta final. El remanente o déficit se distribuirá conforme a las cuotas y a las reglas legales aplicables. La liquidación interna no libera frente a acreedores sin su consentimiento cuando sea necesario.</w:t>
      </w:r>
    </w:p>
    <w:p>
      <w:pPr>
        <w:pStyle w:val="Heading2"/>
      </w:pPr>
      <w:r>
        <w:t>Anexo I. Aportaciones</w:t>
      </w:r>
    </w:p>
    <w:p>
      <w:pPr>
        <w:jc w:val="left"/>
      </w:pPr>
      <w:r>
        <w:rPr>
          <w:rFonts w:ascii="Arial" w:hAnsi="Arial"/>
        </w:rPr>
        <w:t xml:space="preserve">Socio: </w:t>
      </w:r>
      <w:r>
        <w:rPr>
          <w:rFonts w:ascii="Arial" w:hAnsi="Arial"/>
          <w:b/>
          <w:color w:val="397CDD"/>
          <w:shd w:fill="E5EFFC"/>
        </w:rPr>
        <w:t>[NOMBRE]</w:t>
      </w:r>
      <w:r>
        <w:rPr>
          <w:rFonts w:ascii="Arial" w:hAnsi="Arial"/>
        </w:rPr>
        <w:t xml:space="preserve">. Aportación: </w:t>
      </w:r>
      <w:r>
        <w:rPr>
          <w:rFonts w:ascii="Arial" w:hAnsi="Arial"/>
          <w:b/>
          <w:color w:val="397CDD"/>
          <w:shd w:fill="E5EFFC"/>
        </w:rPr>
        <w:t>[DESCRIPCIÓN]</w:t>
      </w:r>
      <w:r>
        <w:rPr>
          <w:rFonts w:ascii="Arial" w:hAnsi="Arial"/>
        </w:rPr>
        <w:t xml:space="preserve">. Título y cargas: </w:t>
      </w:r>
      <w:r>
        <w:rPr>
          <w:rFonts w:ascii="Arial" w:hAnsi="Arial"/>
          <w:b/>
          <w:color w:val="397CDD"/>
          <w:shd w:fill="E5EFFC"/>
        </w:rPr>
        <w:t>[DATOS]</w:t>
      </w:r>
      <w:r>
        <w:rPr>
          <w:rFonts w:ascii="Arial" w:hAnsi="Arial"/>
        </w:rPr>
        <w:t xml:space="preserve">. Valor y criterio: </w:t>
      </w:r>
      <w:r>
        <w:rPr>
          <w:rFonts w:ascii="Arial" w:hAnsi="Arial"/>
          <w:b/>
          <w:color w:val="397CDD"/>
          <w:shd w:fill="E5EFFC"/>
        </w:rPr>
        <w:t>[DATOS]</w:t>
      </w:r>
      <w:r>
        <w:rPr>
          <w:rFonts w:ascii="Arial" w:hAnsi="Arial"/>
        </w:rPr>
        <w:t xml:space="preserve">. Entrega: </w:t>
      </w:r>
      <w:r>
        <w:rPr>
          <w:rFonts w:ascii="Arial" w:hAnsi="Arial"/>
          <w:b/>
          <w:color w:val="397CDD"/>
          <w:shd w:fill="E5EFFC"/>
        </w:rPr>
        <w:t>[FECHA Y ACREDITACIÓN]</w:t>
      </w:r>
      <w:r>
        <w:rPr>
          <w:rFonts w:ascii="Arial" w:hAnsi="Arial"/>
        </w:rPr>
        <w:t xml:space="preserve">. Cuota: </w:t>
      </w:r>
      <w:r>
        <w:rPr>
          <w:rFonts w:ascii="Arial" w:hAnsi="Arial"/>
          <w:b/>
          <w:color w:val="397CDD"/>
          <w:shd w:fill="E5EFFC"/>
        </w:rPr>
        <w:t>[PORCENTAJE]</w:t>
      </w:r>
      <w:r>
        <w:rPr>
          <w:rFonts w:ascii="Arial" w:hAnsi="Arial"/>
        </w:rPr>
        <w:t>. Repetir para cada socio.</w:t>
      </w:r>
    </w:p>
    <w:p>
      <w:pPr>
        <w:pStyle w:val="Heading2"/>
      </w:pPr>
      <w:r>
        <w:t>Lugar, fecha y firmas</w:t>
      </w:r>
    </w:p>
    <w:p>
      <w:pPr>
        <w:keepNext/>
        <w:jc w:val="left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left"/>
      </w:pPr>
      <w:r>
        <w:rPr>
          <w:rFonts w:ascii="Arial" w:hAnsi="Arial"/>
        </w:rPr>
        <w:t xml:space="preserve">Firma de cada interviniente: </w:t>
      </w:r>
      <w:r>
        <w:rPr>
          <w:rFonts w:ascii="Arial" w:hAnsi="Arial"/>
          <w:b/>
          <w:color w:val="397CDD"/>
          <w:shd w:fill="E5EFFC"/>
        </w:rPr>
        <w:t>[NOMBRE, CONDICIÓN Y FIRMA]</w:t>
      </w:r>
      <w:r>
        <w:rPr>
          <w:rFonts w:ascii="Arial" w:hAnsi="Arial"/>
        </w:rPr>
        <w:t>.</w:t>
      </w:r>
    </w:p>
    <w:p>
      <w:pPr>
        <w:keepNext/>
        <w:spacing w:before="160" w:after="160"/>
        <w:jc w:val="left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4"/>
        </w:rPr>
        <w:t>Guía de uso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t>Destinatario habitual: las partes firmantes y, si la operación lo requiere, la notaría o el registro competente.</w:t>
            </w:r>
          </w:p>
        </w:tc>
      </w:tr>
    </w:tbl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Actividad y encaje civil comprobados.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Identidad, aportaciones, cuotas y firmas de todos.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Presupuesto y análisis fiscal y de Seguridad Social previos al inicio.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Requiere comprobar que el objeto es realmente civil. No es un atajo para constituir una sociedad mercantil o profesional ni asegura tributación por atribución de rentas.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Si se aportan inmuebles o derechos reales se exige escritura pública; para inmuebles, el artículo 1668 exige inventario firmado unido a la escritura. Este borrador excluye esas aportaciones.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gestión conjunta puede bloquear decisiones: se ha elegido de forma deliberada y debe revisarse si se necesita un administrador con facultades distintas.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incluye socios industriales, continuidad con herederos ni limitación de responsabilidad. Esas variantes necesitan redacción específica.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left"/>
      </w:pPr>
      <w:hyperlink r:id="rId11">
        <w:r>
          <w:t>Código Civil, artículos 1665 a 1708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