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SOCIEDADES Y COMUNIDADES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Contrato de comunidad de bienes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Acuerdo para identificar bienes o derechos comunes, cuotas, uso, gastos y administración de una comunidad sencilla.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Partes firmantes y, cuando corresponda, notaría y Registro Mercantil.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Intervinientes y título de la comunidad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A]</w:t>
      </w:r>
      <w:r>
        <w:rPr>
          <w:rFonts w:ascii="Arial" w:hAnsi="Arial"/>
        </w:rPr>
        <w:t xml:space="preserve">, con documento </w:t>
      </w:r>
      <w:r>
        <w:rPr>
          <w:rFonts w:ascii="Arial" w:hAnsi="Arial"/>
          <w:b/>
          <w:color w:val="397CDD"/>
          <w:shd w:fill="E5EFFC"/>
        </w:rPr>
        <w:t>[IDENTIFICACIÓN]</w:t>
      </w:r>
      <w:r>
        <w:rPr>
          <w:rFonts w:ascii="Arial" w:hAnsi="Arial"/>
        </w:rPr>
        <w:t xml:space="preserve"> y domicilio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 xml:space="preserve">, y D./D.ª </w:t>
      </w:r>
      <w:r>
        <w:rPr>
          <w:rFonts w:ascii="Arial" w:hAnsi="Arial"/>
          <w:b/>
          <w:color w:val="397CDD"/>
          <w:shd w:fill="E5EFFC"/>
        </w:rPr>
        <w:t>[NOMBRE B]</w:t>
      </w:r>
      <w:r>
        <w:rPr>
          <w:rFonts w:ascii="Arial" w:hAnsi="Arial"/>
        </w:rPr>
        <w:t xml:space="preserve">, con documento </w:t>
      </w:r>
      <w:r>
        <w:rPr>
          <w:rFonts w:ascii="Arial" w:hAnsi="Arial"/>
          <w:b/>
          <w:color w:val="397CDD"/>
          <w:shd w:fill="E5EFFC"/>
        </w:rPr>
        <w:t>[IDENTIFICACIÓN]</w:t>
      </w:r>
      <w:r>
        <w:rPr>
          <w:rFonts w:ascii="Arial" w:hAnsi="Arial"/>
        </w:rPr>
        <w:t xml:space="preserve"> y domicilio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 xml:space="preserve">, actuando en nombre propio, reconocen que les pertenecen en proindiviso los bienes o derechos descritos en el anexo I por título de </w:t>
      </w:r>
      <w:r>
        <w:rPr>
          <w:rFonts w:ascii="Arial" w:hAnsi="Arial"/>
          <w:b/>
          <w:color w:val="397CDD"/>
          <w:shd w:fill="E5EFFC"/>
        </w:rPr>
        <w:t>[TÍTULO Y FECHA]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Las partes acuerdan documentar y organizar esa comunidad bajo la denominación </w:t>
      </w:r>
      <w:r>
        <w:rPr>
          <w:rFonts w:ascii="Arial" w:hAnsi="Arial"/>
          <w:b/>
          <w:color w:val="397CDD"/>
          <w:shd w:fill="E5EFFC"/>
        </w:rPr>
        <w:t>[DENOMINACIÓN]</w:t>
      </w:r>
      <w:r>
        <w:rPr>
          <w:rFonts w:ascii="Arial" w:hAnsi="Arial"/>
        </w:rPr>
        <w:t xml:space="preserve"> C.B., con domicilio de gestión en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>. Este contrato no declara una transmisión de propiedad distinta de la que conste expresamente en los títulos y anexos.</w:t>
      </w:r>
    </w:p>
    <w:p>
      <w:pPr>
        <w:pStyle w:val="Heading2"/>
      </w:pPr>
      <w:r>
        <w:t>Primera. Bienes y cuotas</w:t>
      </w:r>
    </w:p>
    <w:p>
      <w:pPr>
        <w:jc w:val="both"/>
      </w:pPr>
      <w:r>
        <w:rPr>
          <w:rFonts w:ascii="Arial" w:hAnsi="Arial"/>
        </w:rPr>
        <w:t xml:space="preserve">El anexo I identifica cada bien o derecho, título, cargas, valor de referencia convenido para la gestión y cuota de cada comunero. Cuotas: </w:t>
      </w:r>
      <w:r>
        <w:rPr>
          <w:rFonts w:ascii="Arial" w:hAnsi="Arial"/>
          <w:b/>
          <w:color w:val="397CDD"/>
          <w:shd w:fill="E5EFFC"/>
        </w:rPr>
        <w:t>[COMUNERO A Y PORCENTAJE]</w:t>
      </w:r>
      <w:r>
        <w:rPr>
          <w:rFonts w:ascii="Arial" w:hAnsi="Arial"/>
        </w:rPr>
        <w:t xml:space="preserve">; </w:t>
      </w:r>
      <w:r>
        <w:rPr>
          <w:rFonts w:ascii="Arial" w:hAnsi="Arial"/>
          <w:b/>
          <w:color w:val="397CDD"/>
          <w:shd w:fill="E5EFFC"/>
        </w:rPr>
        <w:t>[COMUNERO B Y PORCENTAJE]</w:t>
      </w:r>
      <w:r>
        <w:rPr>
          <w:rFonts w:ascii="Arial" w:hAnsi="Arial"/>
        </w:rPr>
        <w:t>. Su suma será el 100 %. No se confunde esta valoración con una tasación ni con un valor fiscal comprobado.</w:t>
      </w:r>
    </w:p>
    <w:p>
      <w:pPr>
        <w:pStyle w:val="Heading2"/>
      </w:pPr>
      <w:r>
        <w:t>Segunda. Destino y uso</w:t>
      </w:r>
    </w:p>
    <w:p>
      <w:pPr>
        <w:jc w:val="both"/>
      </w:pPr>
      <w:r>
        <w:rPr>
          <w:rFonts w:ascii="Arial" w:hAnsi="Arial"/>
        </w:rPr>
        <w:t xml:space="preserve">Los bienes se destinarán a </w:t>
      </w:r>
      <w:r>
        <w:rPr>
          <w:rFonts w:ascii="Arial" w:hAnsi="Arial"/>
          <w:b/>
          <w:color w:val="397CDD"/>
          <w:shd w:fill="E5EFFC"/>
        </w:rPr>
        <w:t>[DESTINO CONCRETO]</w:t>
      </w:r>
      <w:r>
        <w:rPr>
          <w:rFonts w:ascii="Arial" w:hAnsi="Arial"/>
        </w:rPr>
        <w:t xml:space="preserve">. Cada comunero podrá utilizarlos conforme a ese destino sin perjudicar a la comunidad ni impedir el uso de los demás. El régimen práctico de uso será </w:t>
      </w:r>
      <w:r>
        <w:rPr>
          <w:rFonts w:ascii="Arial" w:hAnsi="Arial"/>
          <w:b/>
          <w:color w:val="397CDD"/>
          <w:shd w:fill="E5EFFC"/>
        </w:rPr>
        <w:t>[TURNOS, ACCESOS Y CONDICIONES]</w:t>
      </w:r>
      <w:r>
        <w:rPr>
          <w:rFonts w:ascii="Arial" w:hAnsi="Arial"/>
        </w:rPr>
        <w:t>. No se cede el uso exclusivo a terceros por este solo contrato.</w:t>
      </w:r>
    </w:p>
    <w:p>
      <w:pPr>
        <w:pStyle w:val="Heading2"/>
      </w:pPr>
      <w:r>
        <w:t>Tercera. Administración y representación</w:t>
      </w:r>
    </w:p>
    <w:p>
      <w:pPr>
        <w:jc w:val="both"/>
      </w:pPr>
      <w:r>
        <w:rPr>
          <w:rFonts w:ascii="Arial" w:hAnsi="Arial"/>
        </w:rPr>
        <w:t>Los acuerdos de administración y mejor disfrute se adoptarán por mayoría de intereses o cuotas conforme al artículo 398 del Código Civil. Las alteraciones de la cosa común necesitarán el consentimiento de todos. Se documentarán los acuerdos con fecha, asistentes, cuotas y contenido.</w:t>
      </w:r>
    </w:p>
    <w:p>
      <w:pPr>
        <w:jc w:val="both"/>
      </w:pPr>
      <w:r>
        <w:rPr>
          <w:rFonts w:ascii="Arial" w:hAnsi="Arial"/>
        </w:rPr>
        <w:t xml:space="preserve">Se encomienda a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 la gestión ordinaria de </w:t>
      </w:r>
      <w:r>
        <w:rPr>
          <w:rFonts w:ascii="Arial" w:hAnsi="Arial"/>
          <w:b/>
          <w:color w:val="397CDD"/>
          <w:shd w:fill="E5EFFC"/>
        </w:rPr>
        <w:t>[ACTOS DELIMITADOS]</w:t>
      </w:r>
      <w:r>
        <w:rPr>
          <w:rFonts w:ascii="Arial" w:hAnsi="Arial"/>
        </w:rPr>
        <w:t xml:space="preserve">, dentro de un presupuesto de </w:t>
      </w:r>
      <w:r>
        <w:rPr>
          <w:rFonts w:ascii="Arial" w:hAnsi="Arial"/>
          <w:b/>
          <w:color w:val="397CDD"/>
          <w:shd w:fill="E5EFFC"/>
        </w:rPr>
        <w:t>[IMPORTE Y PERÍODO]</w:t>
      </w:r>
      <w:r>
        <w:rPr>
          <w:rFonts w:ascii="Arial" w:hAnsi="Arial"/>
        </w:rPr>
        <w:t>. Esta encomienda no autoriza por sí sola a vender, gravar, avalar o endeudar a los demás comuneros. Cuando el acto requiera poder o consentimiento específico se obtendrá antes de actuar.</w:t>
      </w:r>
    </w:p>
    <w:p>
      <w:pPr>
        <w:pStyle w:val="Heading2"/>
      </w:pPr>
      <w:r>
        <w:t>Cuarta. Gastos, ingresos y cuentas</w:t>
      </w:r>
    </w:p>
    <w:p>
      <w:pPr>
        <w:jc w:val="both"/>
      </w:pPr>
      <w:r>
        <w:rPr>
          <w:rFonts w:ascii="Arial" w:hAnsi="Arial"/>
        </w:rPr>
        <w:t xml:space="preserve">Los beneficios y cargas se distribuirán según las cuotas indicadas, sin perjuicio de los gastos imputables a la conducta particular de un comunero. Las aportaciones ordinarias serán </w:t>
      </w:r>
      <w:r>
        <w:rPr>
          <w:rFonts w:ascii="Arial" w:hAnsi="Arial"/>
          <w:b/>
          <w:color w:val="397CDD"/>
          <w:shd w:fill="E5EFFC"/>
        </w:rPr>
        <w:t>[IMPORTES, FECHAS Y MEDIO]</w:t>
      </w:r>
      <w:r>
        <w:rPr>
          <w:rFonts w:ascii="Arial" w:hAnsi="Arial"/>
        </w:rPr>
        <w:t>. Los gastos urgentes de conservación se comunicarán sin demora con sus justificantes.</w:t>
      </w:r>
    </w:p>
    <w:p>
      <w:pPr>
        <w:jc w:val="both"/>
      </w:pPr>
      <w:r>
        <w:rPr>
          <w:rFonts w:ascii="Arial" w:hAnsi="Arial"/>
        </w:rPr>
        <w:t>La persona gestora facilitará trimestralmente relación de movimientos y justificantes. Cualquier comunero podrá examinar la documentación de la comunidad. La cuenta de gestión y sus autorizaciones bancarias se acordarán expresamente; no se compartirán credenciales personales.</w:t>
      </w:r>
    </w:p>
    <w:p>
      <w:pPr>
        <w:pStyle w:val="Heading2"/>
      </w:pPr>
      <w:r>
        <w:t>Quinta. Responsabilidad y obligaciones</w:t>
      </w:r>
    </w:p>
    <w:p>
      <w:pPr>
        <w:jc w:val="both"/>
      </w:pPr>
      <w:r>
        <w:rPr>
          <w:rFonts w:ascii="Arial" w:hAnsi="Arial"/>
        </w:rPr>
        <w:t>Este acuerdo regula las relaciones internas y no crea una sociedad de responsabilidad limitada ni limita los derechos de terceros. Antes de realizar una actividad económica se comprobarán las obligaciones censales, tributarias, laborales, de Seguridad Social y de licencias que procedan.</w:t>
      </w:r>
    </w:p>
    <w:p>
      <w:pPr>
        <w:pStyle w:val="Heading2"/>
      </w:pPr>
      <w:r>
        <w:t>Sexta. Transmisión, división y liquidación</w:t>
      </w:r>
    </w:p>
    <w:p>
      <w:pPr>
        <w:jc w:val="both"/>
      </w:pPr>
      <w:r>
        <w:rPr>
          <w:rFonts w:ascii="Arial" w:hAnsi="Arial"/>
        </w:rPr>
        <w:t>Las transmisiones de cuota se sujetarán a la ley y a los derechos de los demás comuneros que resulten aplicables. Ningún comunero queda obligado por este contrato a permanecer indefinidamente en la comunidad; podrá pedir la división conforme a la ley.</w:t>
      </w:r>
    </w:p>
    <w:p>
      <w:pPr>
        <w:jc w:val="both"/>
      </w:pPr>
      <w:r>
        <w:rPr>
          <w:rFonts w:ascii="Arial" w:hAnsi="Arial"/>
        </w:rPr>
        <w:t>Al extinguirse la comunidad se formulará inventario y liquidación de gastos, créditos y deudas, se atenderán los derechos de terceros y se adjudicará o realizará el bien según acuerdo o procedimiento legal. No se pacta adjudicación automática ni pérdida de la cuota por simple salida.</w:t>
      </w:r>
    </w:p>
    <w:p>
      <w:pPr>
        <w:pStyle w:val="Heading2"/>
      </w:pPr>
      <w:r>
        <w:t>Anexo I. Inventario y títulos</w:t>
      </w:r>
    </w:p>
    <w:p>
      <w:pPr>
        <w:jc w:val="both"/>
      </w:pPr>
      <w:r>
        <w:rPr>
          <w:rFonts w:ascii="Arial" w:hAnsi="Arial"/>
        </w:rPr>
        <w:t xml:space="preserve">Bien o derecho: </w:t>
      </w:r>
      <w:r>
        <w:rPr>
          <w:rFonts w:ascii="Arial" w:hAnsi="Arial"/>
          <w:b/>
          <w:color w:val="397CDD"/>
          <w:shd w:fill="E5EFFC"/>
        </w:rPr>
        <w:t>[DESCRIPCIÓN]</w:t>
      </w:r>
      <w:r>
        <w:rPr>
          <w:rFonts w:ascii="Arial" w:hAnsi="Arial"/>
        </w:rPr>
        <w:t xml:space="preserve">. Título y fecha: </w:t>
      </w:r>
      <w:r>
        <w:rPr>
          <w:rFonts w:ascii="Arial" w:hAnsi="Arial"/>
          <w:b/>
          <w:color w:val="397CDD"/>
          <w:shd w:fill="E5EFFC"/>
        </w:rPr>
        <w:t>[DATOS]</w:t>
      </w:r>
      <w:r>
        <w:rPr>
          <w:rFonts w:ascii="Arial" w:hAnsi="Arial"/>
        </w:rPr>
        <w:t xml:space="preserve">. Cargas y derechos de terceros: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 xml:space="preserve">. Cuotas: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 xml:space="preserve">. Valor de referencia y criterio: </w:t>
      </w:r>
      <w:r>
        <w:rPr>
          <w:rFonts w:ascii="Arial" w:hAnsi="Arial"/>
          <w:b/>
          <w:color w:val="397CDD"/>
          <w:shd w:fill="E5EFFC"/>
        </w:rPr>
        <w:t>[DETALLE]</w:t>
      </w:r>
      <w:r>
        <w:rPr>
          <w:rFonts w:ascii="Arial" w:hAnsi="Arial"/>
        </w:rPr>
        <w:t xml:space="preserve">. Documentos unidos: </w:t>
      </w:r>
      <w:r>
        <w:rPr>
          <w:rFonts w:ascii="Arial" w:hAnsi="Arial"/>
          <w:b/>
          <w:color w:val="397CDD"/>
          <w:shd w:fill="E5EFFC"/>
        </w:rPr>
        <w:t>[RELACIÓN]</w:t>
      </w:r>
      <w:r>
        <w:rPr>
          <w:rFonts w:ascii="Arial" w:hAnsi="Arial"/>
        </w:rPr>
        <w:t>. Repetir por cada elemento común.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de cada interviniente: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Títulos y cargas de los bienes, no solo una lista de dinero a aportar.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Cuotas y consentimiento de todos los titulares.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Destino, presupuesto, facultades y forma de rendir cuentas.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Pensado para comunidad real de bienes o derechos, no para llamar comunidad de bienes a cualquier negocio conjunto. La actividad y los pactos pueden exigir otra forma jurídica y otro tratamiento fiscal.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se aportan o transmiten inmuebles, derechos reales, bienes gananciales o participaciones de menores, no debe firmarse sin revisión de forma, consentimientos y fiscalidad. No garantiza que baste documento privado.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ofrece responsabilidad limitada ni exención fiscal. No contiene pacto de indivisión; si se añade, hay que respetar el límite legal y su régimen de prórroga.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Código Civil, artículos 392 a 406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