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widowControl/>
        <w:jc w:val="center"/>
      </w:pPr>
      <w:r>
        <w:rPr>
          <w:rFonts w:ascii="Arial" w:hAnsi="Arial"/>
          <w:b/>
          <w:color w:val="397CDD"/>
          <w:sz w:val="16"/>
        </w:rPr>
        <w:t>CIVIL Y HERENCIAS</w:t>
      </w:r>
    </w:p>
    <w:p>
      <w:pPr>
        <w:pStyle w:val="Title"/>
        <w:jc w:val="center"/>
      </w:pPr>
      <w:r>
        <w:rPr>
          <w:rFonts w:ascii="Georgia" w:hAnsi="Georgia"/>
          <w:b/>
          <w:color w:val="102E3C"/>
          <w:sz w:val="42"/>
        </w:rPr>
        <w:t>Comunicación de fallecimiento al banco y solicitud de expediente sucesorio</w:t>
      </w:r>
    </w:p>
    <w:p>
      <w:pPr>
        <w:keepNext w:val="0"/>
        <w:widowControl/>
        <w:jc w:val="center"/>
      </w:pPr>
      <w:r>
        <w:rPr>
          <w:rFonts w:ascii="Arial" w:hAnsi="Arial"/>
          <w:color w:val="68777D"/>
          <w:sz w:val="20"/>
        </w:rPr>
        <w:t>Comunicación para dejar constancia del fallecimiento, obtener una referencia de tramitación y conocer los requisitos bancarios sucesorios.</w:t>
      </w:r>
    </w:p>
    <w:p>
      <w:pPr>
        <w:pStyle w:val="Heading1"/>
        <w:spacing w:before="140" w:after="80"/>
        <w:jc w:val="center"/>
      </w:pPr>
      <w:r>
        <w:t>MODELO EDITABLE</w:t>
      </w:r>
    </w:p>
    <w:p>
      <w:pPr>
        <w:keepNext w:val="0"/>
        <w:widowControl/>
        <w:jc w:val="both"/>
      </w:pPr>
      <w:r>
        <w:rPr>
          <w:rFonts w:ascii="Arial" w:hAnsi="Arial"/>
          <w:color w:val="263A43"/>
          <w:sz w:val="20"/>
        </w:rPr>
        <w:t>Complete los campos entre corchetes. Antes de presentar una carta, elimine las indicaciones de uso y las alternativas no aplicables. Las fichas y borradores conservan su carácter preparatorio.</w:t>
      </w:r>
    </w:p>
    <w:p>
      <w:pPr>
        <w:pStyle w:val="Heading2"/>
        <w:spacing w:before="140" w:after="80"/>
      </w:pPr>
      <w:r>
        <w:t>A [ENTIDAD BANCARIA — OFICINA O UNIDAD COMPETENTE]</w:t>
      </w:r>
    </w:p>
    <w:p>
      <w:pPr>
        <w:keepNext w:val="0"/>
        <w:widowControl/>
        <w:jc w:val="both"/>
      </w:pPr>
      <w:r>
        <w:rPr>
          <w:rFonts w:ascii="Arial" w:hAnsi="Arial"/>
          <w:color w:val="263A43"/>
          <w:sz w:val="20"/>
        </w:rPr>
        <w:t>Asunto: comunicación de fallecimiento y localización o apertura de expediente sucesorio bancario.</w:t>
      </w:r>
    </w:p>
    <w:p>
      <w:pPr>
        <w:keepNext w:val="0"/>
        <w:widowControl/>
        <w:jc w:val="both"/>
      </w:pPr>
      <w:r>
        <w:rPr>
          <w:rFonts w:ascii="Arial" w:hAnsi="Arial"/>
          <w:color w:val="263A43"/>
          <w:sz w:val="20"/>
        </w:rPr>
        <w:t xml:space="preserve">D./D.ª </w:t>
      </w:r>
      <w:r>
        <w:rPr>
          <w:rFonts w:ascii="Arial" w:hAnsi="Arial"/>
          <w:b/>
          <w:color w:val="397CDD"/>
          <w:sz w:val="20"/>
          <w:shd w:fill="E8F0FB"/>
        </w:rPr>
        <w:t>[NOMBRE]</w:t>
      </w:r>
      <w:r>
        <w:rPr>
          <w:rFonts w:ascii="Arial" w:hAnsi="Arial"/>
          <w:color w:val="263A43"/>
          <w:sz w:val="20"/>
        </w:rPr>
        <w:t xml:space="preserve">, con </w:t>
      </w:r>
      <w:r>
        <w:rPr>
          <w:rFonts w:ascii="Arial" w:hAnsi="Arial"/>
          <w:b/>
          <w:color w:val="397CDD"/>
          <w:sz w:val="20"/>
          <w:shd w:fill="E8F0FB"/>
        </w:rPr>
        <w:t>[IDENTIFICACIÓN]</w:t>
      </w:r>
      <w:r>
        <w:rPr>
          <w:rFonts w:ascii="Arial" w:hAnsi="Arial"/>
          <w:color w:val="263A43"/>
          <w:sz w:val="20"/>
        </w:rPr>
        <w:t xml:space="preserve">, y medio seguro de contacto </w:t>
      </w:r>
      <w:r>
        <w:rPr>
          <w:rFonts w:ascii="Arial" w:hAnsi="Arial"/>
          <w:b/>
          <w:color w:val="397CDD"/>
          <w:sz w:val="20"/>
          <w:shd w:fill="E8F0FB"/>
        </w:rPr>
        <w:t>[DATOS]</w:t>
      </w:r>
      <w:r>
        <w:rPr>
          <w:rFonts w:ascii="Arial" w:hAnsi="Arial"/>
          <w:color w:val="263A43"/>
          <w:sz w:val="20"/>
        </w:rPr>
        <w:t>, respetuosamente,</w:t>
      </w:r>
    </w:p>
    <w:p>
      <w:pPr>
        <w:pStyle w:val="Heading2"/>
        <w:spacing w:before="140" w:after="80"/>
      </w:pPr>
      <w:r>
        <w:t>EXPONE</w:t>
      </w:r>
    </w:p>
    <w:p>
      <w:pPr>
        <w:keepNext w:val="0"/>
        <w:widowControl/>
        <w:jc w:val="both"/>
      </w:pPr>
      <w:r>
        <w:rPr>
          <w:rFonts w:ascii="Arial" w:hAnsi="Arial"/>
          <w:color w:val="263A43"/>
          <w:sz w:val="20"/>
        </w:rPr>
        <w:t xml:space="preserve">Primero. Comunico el fallecimiento de D./D.ª </w:t>
      </w:r>
      <w:r>
        <w:rPr>
          <w:rFonts w:ascii="Arial" w:hAnsi="Arial"/>
          <w:b/>
          <w:color w:val="397CDD"/>
          <w:sz w:val="20"/>
          <w:shd w:fill="E8F0FB"/>
        </w:rPr>
        <w:t>[NOMBRE Y DOCUMENTO IDENTIFICATIVO]</w:t>
      </w:r>
      <w:r>
        <w:rPr>
          <w:rFonts w:ascii="Arial" w:hAnsi="Arial"/>
          <w:color w:val="263A43"/>
          <w:sz w:val="20"/>
        </w:rPr>
        <w:t xml:space="preserve">, ocurrido el </w:t>
      </w:r>
      <w:r>
        <w:rPr>
          <w:rFonts w:ascii="Arial" w:hAnsi="Arial"/>
          <w:b/>
          <w:color w:val="397CDD"/>
          <w:sz w:val="20"/>
          <w:shd w:fill="E8F0FB"/>
        </w:rPr>
        <w:t>[FECHA]</w:t>
      </w:r>
      <w:r>
        <w:rPr>
          <w:rFonts w:ascii="Arial" w:hAnsi="Arial"/>
          <w:color w:val="263A43"/>
          <w:sz w:val="20"/>
        </w:rPr>
        <w:t>, y aporto certificado de defunción.</w:t>
      </w:r>
    </w:p>
    <w:p>
      <w:pPr>
        <w:keepNext w:val="0"/>
        <w:widowControl/>
        <w:jc w:val="both"/>
      </w:pPr>
      <w:r>
        <w:rPr>
          <w:rFonts w:ascii="Arial" w:hAnsi="Arial"/>
          <w:color w:val="263A43"/>
          <w:sz w:val="20"/>
        </w:rPr>
        <w:t xml:space="preserve">Segundo. Mi relación con la persona fallecida es </w:t>
      </w:r>
      <w:r>
        <w:rPr>
          <w:rFonts w:ascii="Arial" w:hAnsi="Arial"/>
          <w:b/>
          <w:color w:val="397CDD"/>
          <w:sz w:val="20"/>
          <w:shd w:fill="E8F0FB"/>
        </w:rPr>
        <w:t>[RELACIÓN REAL]</w:t>
      </w:r>
      <w:r>
        <w:rPr>
          <w:rFonts w:ascii="Arial" w:hAnsi="Arial"/>
          <w:color w:val="263A43"/>
          <w:sz w:val="20"/>
        </w:rPr>
        <w:t xml:space="preserve">. Respecto de la legitimación sucesoria, </w:t>
      </w:r>
      <w:r>
        <w:rPr>
          <w:rFonts w:ascii="Arial" w:hAnsi="Arial"/>
          <w:b/>
          <w:color w:val="397CDD"/>
          <w:sz w:val="20"/>
          <w:shd w:fill="E8F0FB"/>
        </w:rPr>
        <w:t>[ACREDITO MI CONDICIÓN CON LOS DOCUMENTOS ADJUNTOS / TENGO PENDIENTE OBTENER EL TÍTULO Y POR AHORA SOLICITO SOLO INFORMACIÓN SOBRE EL PROCEDIMIENTO Y SUS REQUISITOS]</w:t>
      </w:r>
      <w:r>
        <w:rPr>
          <w:rFonts w:ascii="Arial" w:hAnsi="Arial"/>
          <w:color w:val="263A43"/>
          <w:sz w:val="20"/>
        </w:rPr>
        <w:t>.</w:t>
      </w:r>
    </w:p>
    <w:p>
      <w:pPr>
        <w:keepNext w:val="0"/>
        <w:widowControl/>
        <w:jc w:val="both"/>
      </w:pPr>
      <w:r>
        <w:rPr>
          <w:rFonts w:ascii="Arial" w:hAnsi="Arial"/>
          <w:color w:val="263A43"/>
          <w:sz w:val="20"/>
        </w:rPr>
        <w:t xml:space="preserve">Tercero. Productos u oficina conocidos: </w:t>
      </w:r>
      <w:r>
        <w:rPr>
          <w:rFonts w:ascii="Arial" w:hAnsi="Arial"/>
          <w:b/>
          <w:color w:val="397CDD"/>
          <w:sz w:val="20"/>
          <w:shd w:fill="E8F0FB"/>
        </w:rPr>
        <w:t>[DATOS / SE DESCONOCEN]</w:t>
      </w:r>
      <w:r>
        <w:rPr>
          <w:rFonts w:ascii="Arial" w:hAnsi="Arial"/>
          <w:color w:val="263A43"/>
          <w:sz w:val="20"/>
        </w:rPr>
        <w:t xml:space="preserve">. Expediente previo, si consta: </w:t>
      </w:r>
      <w:r>
        <w:rPr>
          <w:rFonts w:ascii="Arial" w:hAnsi="Arial"/>
          <w:b/>
          <w:color w:val="397CDD"/>
          <w:sz w:val="20"/>
          <w:shd w:fill="E8F0FB"/>
        </w:rPr>
        <w:t>[REFERENCIA / NO CONSTA]</w:t>
      </w:r>
      <w:r>
        <w:rPr>
          <w:rFonts w:ascii="Arial" w:hAnsi="Arial"/>
          <w:color w:val="263A43"/>
          <w:sz w:val="20"/>
        </w:rPr>
        <w:t>.</w:t>
      </w:r>
    </w:p>
    <w:p>
      <w:pPr>
        <w:pStyle w:val="Heading2"/>
        <w:spacing w:before="140" w:after="80"/>
      </w:pPr>
      <w:r>
        <w:t>SOLICITA</w:t>
      </w:r>
    </w:p>
    <w:p>
      <w:pPr>
        <w:keepNext w:val="0"/>
        <w:widowControl/>
      </w:pPr>
      <w:r>
        <w:rPr>
          <w:rFonts w:ascii="Arial" w:hAnsi="Arial"/>
          <w:color w:val="263A43"/>
          <w:sz w:val="20"/>
        </w:rPr>
        <w:t>1. Que se deje constancia del fallecimiento y se confirme la recepción de esta comunicación.</w:t>
      </w:r>
    </w:p>
    <w:p>
      <w:pPr>
        <w:keepNext w:val="0"/>
        <w:widowControl/>
      </w:pPr>
      <w:r>
        <w:rPr>
          <w:rFonts w:ascii="Arial" w:hAnsi="Arial"/>
          <w:color w:val="263A43"/>
          <w:sz w:val="20"/>
        </w:rPr>
        <w:t>2. Que se localice o abra la referencia administrativa del expediente sucesorio bancario y se comunique la unidad encargada, el canal seguro de aportación y la relación concreta de documentos necesarios.</w:t>
      </w:r>
    </w:p>
    <w:p>
      <w:pPr>
        <w:keepNext w:val="0"/>
        <w:widowControl/>
      </w:pPr>
      <w:r>
        <w:rPr>
          <w:rFonts w:ascii="Arial" w:hAnsi="Arial"/>
          <w:color w:val="263A43"/>
          <w:sz w:val="20"/>
        </w:rPr>
        <w:t>3. Que, cuando se haya acreditado mi legitimación, se me facilite información sobre el estado de tramitación y los documentos pendientes, respetando los derechos de cotitulares y terceros. Esta carta no pretende acceder a información reservada sin esa acreditación.</w:t>
      </w:r>
    </w:p>
    <w:p>
      <w:pPr>
        <w:keepNext w:val="0"/>
        <w:widowControl/>
      </w:pPr>
      <w:r>
        <w:rPr>
          <w:rFonts w:ascii="Arial" w:hAnsi="Arial"/>
          <w:color w:val="263A43"/>
          <w:sz w:val="20"/>
        </w:rPr>
        <w:t xml:space="preserve">4. Que se me informe del tratamiento que corresponda a los productos, autorizaciones y recibos relacionados con el fallecimiento. Recibos de conservación cuya continuidad requiere atención: </w:t>
      </w:r>
      <w:r>
        <w:rPr>
          <w:rFonts w:ascii="Arial" w:hAnsi="Arial"/>
          <w:b/>
          <w:color w:val="397CDD"/>
          <w:sz w:val="20"/>
          <w:shd w:fill="E8F0FB"/>
        </w:rPr>
        <w:t>[CONCEPTO, FECHA Y JUSTIFICANTE / NO SE INDICAN]</w:t>
      </w:r>
      <w:r>
        <w:rPr>
          <w:rFonts w:ascii="Arial" w:hAnsi="Arial"/>
          <w:color w:val="263A43"/>
          <w:sz w:val="20"/>
        </w:rPr>
        <w:t>. No se ordena mediante esta carta su pago automático ni su cancelación indiscriminada.</w:t>
      </w:r>
    </w:p>
    <w:p>
      <w:pPr>
        <w:keepNext w:val="0"/>
        <w:widowControl/>
      </w:pPr>
      <w:r>
        <w:rPr>
          <w:rFonts w:ascii="Arial" w:hAnsi="Arial"/>
          <w:color w:val="263A43"/>
          <w:sz w:val="20"/>
        </w:rPr>
        <w:t>5. Que cualquier propuesta de servicio remunerado se remita separadamente, con su alcance y coste, para una decisión expresa posterior. No se autoriza ahora su contratación ni cargo alguno.</w:t>
      </w:r>
    </w:p>
    <w:p>
      <w:pPr>
        <w:keepNext w:val="0"/>
        <w:widowControl/>
        <w:jc w:val="both"/>
      </w:pPr>
      <w:r>
        <w:rPr>
          <w:rFonts w:ascii="Arial" w:hAnsi="Arial"/>
          <w:color w:val="263A43"/>
          <w:sz w:val="20"/>
        </w:rPr>
        <w:t>Esta comunicación no contiene aceptación, reparto, renuncia, cierre de cuentas, venta de valores ni autorización para retirar o transferir fondos.</w:t>
      </w:r>
    </w:p>
    <w:p>
      <w:pPr>
        <w:keepNext w:val="0"/>
        <w:widowControl/>
        <w:jc w:val="both"/>
      </w:pPr>
      <w:r>
        <w:rPr>
          <w:rFonts w:ascii="Arial" w:hAnsi="Arial"/>
          <w:color w:val="263A43"/>
          <w:sz w:val="20"/>
        </w:rPr>
        <w:t xml:space="preserve">Documentos adjuntos: </w:t>
      </w:r>
      <w:r>
        <w:rPr>
          <w:rFonts w:ascii="Arial" w:hAnsi="Arial"/>
          <w:b/>
          <w:color w:val="397CDD"/>
          <w:sz w:val="20"/>
          <w:shd w:fill="E8F0FB"/>
        </w:rPr>
        <w:t>[RELACIÓN]</w:t>
      </w:r>
      <w:r>
        <w:rPr>
          <w:rFonts w:ascii="Arial" w:hAnsi="Arial"/>
          <w:color w:val="263A43"/>
          <w:sz w:val="20"/>
        </w:rPr>
        <w:t xml:space="preserve">. Documentos pendientes: </w:t>
      </w:r>
      <w:r>
        <w:rPr>
          <w:rFonts w:ascii="Arial" w:hAnsi="Arial"/>
          <w:b/>
          <w:color w:val="397CDD"/>
          <w:sz w:val="20"/>
          <w:shd w:fill="E8F0FB"/>
        </w:rPr>
        <w:t>[RELACIÓN]</w:t>
      </w:r>
      <w:r>
        <w:rPr>
          <w:rFonts w:ascii="Arial" w:hAnsi="Arial"/>
          <w:color w:val="263A43"/>
          <w:sz w:val="20"/>
        </w:rPr>
        <w:t>.</w:t>
      </w:r>
    </w:p>
    <w:p>
      <w:pPr>
        <w:keepNext/>
        <w:widowControl/>
        <w:jc w:val="both"/>
      </w:pPr>
      <w:r>
        <w:rPr>
          <w:rFonts w:ascii="Arial" w:hAnsi="Arial"/>
          <w:color w:val="263A43"/>
          <w:sz w:val="20"/>
        </w:rPr>
        <w:t xml:space="preserve">En </w:t>
      </w:r>
      <w:r>
        <w:rPr>
          <w:rFonts w:ascii="Arial" w:hAnsi="Arial"/>
          <w:b/>
          <w:color w:val="397CDD"/>
          <w:sz w:val="20"/>
          <w:shd w:fill="E8F0FB"/>
        </w:rPr>
        <w:t>[LOCALIDAD]</w:t>
      </w:r>
      <w:r>
        <w:rPr>
          <w:rFonts w:ascii="Arial" w:hAnsi="Arial"/>
          <w:color w:val="263A43"/>
          <w:sz w:val="20"/>
        </w:rPr>
        <w:t xml:space="preserve">, a </w:t>
      </w:r>
      <w:r>
        <w:rPr>
          <w:rFonts w:ascii="Arial" w:hAnsi="Arial"/>
          <w:b/>
          <w:color w:val="397CDD"/>
          <w:sz w:val="20"/>
          <w:shd w:fill="E8F0FB"/>
        </w:rPr>
        <w:t>[FECHA]</w:t>
      </w:r>
      <w:r>
        <w:rPr>
          <w:rFonts w:ascii="Arial" w:hAnsi="Arial"/>
          <w:color w:val="263A43"/>
          <w:sz w:val="20"/>
        </w:rPr>
        <w:t>.</w:t>
      </w:r>
    </w:p>
    <w:p>
      <w:pPr>
        <w:keepNext w:val="0"/>
        <w:widowControl/>
        <w:jc w:val="both"/>
      </w:pPr>
      <w:r>
        <w:rPr>
          <w:rFonts w:ascii="Arial" w:hAnsi="Arial"/>
          <w:color w:val="263A43"/>
          <w:sz w:val="20"/>
        </w:rPr>
        <w:t xml:space="preserve">Firma: </w:t>
      </w:r>
      <w:r>
        <w:rPr>
          <w:rFonts w:ascii="Arial" w:hAnsi="Arial"/>
          <w:b/>
          <w:color w:val="397CDD"/>
          <w:sz w:val="20"/>
          <w:shd w:fill="E8F0FB"/>
        </w:rPr>
        <w:t>[NOMBRE Y APELLIDOS]</w:t>
      </w:r>
      <w:r>
        <w:rPr>
          <w:rFonts w:ascii="Arial" w:hAnsi="Arial"/>
          <w:color w:val="263A43"/>
          <w:sz w:val="20"/>
        </w:rPr>
        <w:t>.</w:t>
      </w:r>
    </w:p>
    <w:p>
      <w:pPr>
        <w:keepNext w:val="0"/>
        <w:widowControl/>
      </w:pPr>
      <w:r>
        <w:br w:type="page"/>
      </w:r>
    </w:p>
    <w:p>
      <w:pPr>
        <w:pStyle w:val="Heading1"/>
        <w:pageBreakBefore/>
        <w:spacing w:before="0" w:after="80"/>
        <w:jc w:val="center"/>
      </w:pPr>
      <w:r>
        <w:rPr>
          <w:sz w:val="34"/>
        </w:rPr>
        <w:t>GUÍA DE REVISIÓN · NO ADJUNTAR AL ESCRITO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547"/>
      </w:tblGrid>
      <w:tr>
        <w:tc>
          <w:tcPr>
            <w:tcW w:type="dxa" w:w="9547"/>
            <w:shd w:fill="F4EFE7"/>
          </w:tcPr>
          <w:p>
            <w:r>
              <w:t>LÍMITES Y PRECAUCIONES DE USO</w:t>
            </w:r>
          </w:p>
          <w:p>
            <w:r>
              <w:rPr>
                <w:rFonts w:ascii="Arial" w:hAnsi="Arial"/>
                <w:color w:val="263A43"/>
                <w:sz w:val="20"/>
              </w:rPr>
              <w:t>Comunicar el fallecimiento no equivale a ordenar la retirada de fondos, la cancelación de productos o el bloqueo indiscriminado de derechos de terceros. No use tarjetas, claves ni facultades de autorizado del fallecido.</w:t>
            </w:r>
          </w:p>
          <w:p>
            <w:r>
              <w:rPr>
                <w:rFonts w:ascii="Arial" w:hAnsi="Arial"/>
                <w:color w:val="263A43"/>
                <w:sz w:val="20"/>
              </w:rPr>
              <w:t>Completa solo datos comprobados, elimina alternativas incompatibles y conserva una copia y el justificante de presentación.</w:t>
            </w:r>
          </w:p>
        </w:tc>
      </w:tr>
    </w:tbl>
    <w:p>
      <w:pPr>
        <w:keepNext w:val="0"/>
        <w:widowControl/>
        <w:jc w:val="both"/>
      </w:pPr>
      <w:r>
        <w:rPr>
          <w:rFonts w:ascii="Arial" w:hAnsi="Arial"/>
          <w:color w:val="263A43"/>
          <w:sz w:val="20"/>
        </w:rPr>
        <w:t>Comunicación para dejar constancia del fallecimiento, obtener una referencia de tramitación y conocer los requisitos bancarios sucesorios.</w:t>
      </w:r>
    </w:p>
    <w:p>
      <w:pPr>
        <w:pStyle w:val="Heading1"/>
        <w:spacing w:before="140" w:after="80"/>
      </w:pPr>
      <w:r>
        <w:t>Finalidad</w:t>
      </w:r>
    </w:p>
    <w:p>
      <w:pPr>
        <w:keepNext w:val="0"/>
        <w:widowControl/>
        <w:jc w:val="both"/>
      </w:pPr>
      <w:r>
        <w:rPr>
          <w:rFonts w:ascii="Arial" w:hAnsi="Arial"/>
          <w:color w:val="263A43"/>
          <w:sz w:val="20"/>
        </w:rPr>
        <w:t>Notificar el fallecimiento y solicitar la apertura administrativa o localización del expediente bancario, sin ordenar un reparto ni contratar automáticamente servicios.</w:t>
      </w:r>
    </w:p>
    <w:p>
      <w:pPr>
        <w:pStyle w:val="Heading1"/>
        <w:spacing w:before="140" w:after="80"/>
      </w:pPr>
      <w:r>
        <w:t>Para qué no sirve</w:t>
      </w:r>
    </w:p>
    <w:p>
      <w:pPr>
        <w:keepNext w:val="0"/>
        <w:widowControl/>
        <w:jc w:val="both"/>
      </w:pPr>
      <w:r>
        <w:rPr>
          <w:rFonts w:ascii="Arial" w:hAnsi="Arial"/>
          <w:color w:val="263A43"/>
          <w:sz w:val="20"/>
        </w:rPr>
        <w:t>No acredita por sí sola la condición de heredero, no permite recibir información reservada sin legitimación ni obliga a bloquear todo el saldo de cotitulares.</w:t>
      </w:r>
    </w:p>
    <w:p>
      <w:pPr>
        <w:pStyle w:val="Heading1"/>
        <w:spacing w:before="140" w:after="80"/>
      </w:pPr>
      <w:r>
        <w:t>Instrucciones de uso</w:t>
      </w:r>
    </w:p>
    <w:p>
      <w:pPr>
        <w:keepNext w:val="0"/>
        <w:widowControl/>
      </w:pPr>
      <w:r>
        <w:rPr>
          <w:rFonts w:ascii="Arial" w:hAnsi="Arial"/>
          <w:color w:val="263A43"/>
          <w:sz w:val="20"/>
        </w:rPr>
        <w:t>1. Adjunte el certificado de defunción. Puede comunicar el fallecimiento aunque todavía no disponga de todos los documentos sucesorios; el acceso a información patrimonial requiere acreditar el derecho correspondiente.</w:t>
      </w:r>
    </w:p>
    <w:p>
      <w:pPr>
        <w:keepNext w:val="0"/>
        <w:widowControl/>
      </w:pPr>
      <w:r>
        <w:rPr>
          <w:rFonts w:ascii="Arial" w:hAnsi="Arial"/>
          <w:color w:val="263A43"/>
          <w:sz w:val="20"/>
        </w:rPr>
        <w:t>2. Indique si pide localizar un expediente ya abierto. Solicite referencia, unidad responsable y lista concreta de documentos, sin dar por contratado un servicio remunerado.</w:t>
      </w:r>
    </w:p>
    <w:p>
      <w:pPr>
        <w:keepNext w:val="0"/>
        <w:widowControl/>
      </w:pPr>
      <w:r>
        <w:rPr>
          <w:rFonts w:ascii="Arial" w:hAnsi="Arial"/>
          <w:color w:val="263A43"/>
          <w:sz w:val="20"/>
        </w:rPr>
        <w:t>3. Distinga la información sobre cómo tramitar de la información reservada del causante. Seleccione la cláusula de acreditación que refleje su situación real.</w:t>
      </w:r>
    </w:p>
    <w:p>
      <w:pPr>
        <w:keepNext w:val="0"/>
        <w:widowControl/>
      </w:pPr>
      <w:r>
        <w:rPr>
          <w:rFonts w:ascii="Arial" w:hAnsi="Arial"/>
          <w:color w:val="263A43"/>
          <w:sz w:val="20"/>
        </w:rPr>
        <w:t>4. Identifique recibos urgentes de conservación para que se examine su tratamiento; no ordene suspender indiscriminadamente todos los pagos ni disponga fondos por su cuenta.</w:t>
      </w:r>
    </w:p>
    <w:p>
      <w:pPr>
        <w:pStyle w:val="Heading1"/>
        <w:spacing w:before="140" w:after="80"/>
      </w:pPr>
      <w:r>
        <w:t>Documentos que debe reunir</w:t>
      </w:r>
    </w:p>
    <w:p>
      <w:pPr>
        <w:keepNext w:val="0"/>
        <w:widowControl/>
      </w:pPr>
      <w:r>
        <w:rPr>
          <w:rFonts w:ascii="Arial" w:hAnsi="Arial"/>
          <w:color w:val="263A43"/>
          <w:sz w:val="20"/>
        </w:rPr>
        <w:t>1. Certificado de defunción e identificación de quien comunica.</w:t>
      </w:r>
    </w:p>
    <w:p>
      <w:pPr>
        <w:keepNext w:val="0"/>
        <w:widowControl/>
      </w:pPr>
      <w:r>
        <w:rPr>
          <w:rFonts w:ascii="Arial" w:hAnsi="Arial"/>
          <w:color w:val="263A43"/>
          <w:sz w:val="20"/>
        </w:rPr>
        <w:t>2. Referencia de productos conocidos, si se tiene.</w:t>
      </w:r>
    </w:p>
    <w:p>
      <w:pPr>
        <w:keepNext w:val="0"/>
        <w:widowControl/>
      </w:pPr>
      <w:r>
        <w:rPr>
          <w:rFonts w:ascii="Arial" w:hAnsi="Arial"/>
          <w:color w:val="263A43"/>
          <w:sz w:val="20"/>
        </w:rPr>
        <w:t>3. Últimas voluntades y título sucesorio disponibles; representación cuando proceda.</w:t>
      </w:r>
    </w:p>
    <w:p>
      <w:pPr>
        <w:keepNext w:val="0"/>
        <w:widowControl/>
      </w:pPr>
      <w:r>
        <w:rPr>
          <w:rFonts w:ascii="Arial" w:hAnsi="Arial"/>
          <w:color w:val="263A43"/>
          <w:sz w:val="20"/>
        </w:rPr>
        <w:t>4. Justificantes de recibos de conservación que requieran atención, sin datos innecesarios.</w:t>
      </w:r>
    </w:p>
    <w:p>
      <w:pPr>
        <w:pStyle w:val="Heading1"/>
        <w:spacing w:before="140" w:after="80"/>
      </w:pPr>
      <w:r>
        <w:t>Errores que debe evitar</w:t>
      </w:r>
    </w:p>
    <w:p>
      <w:pPr>
        <w:keepNext w:val="0"/>
        <w:widowControl/>
      </w:pPr>
      <w:r>
        <w:rPr>
          <w:rFonts w:ascii="Arial" w:hAnsi="Arial"/>
          <w:color w:val="263A43"/>
          <w:sz w:val="20"/>
        </w:rPr>
        <w:t>1. Firmar un encargo de testamentaría de pago creyendo que es solo una notificación.</w:t>
      </w:r>
    </w:p>
    <w:p>
      <w:pPr>
        <w:keepNext w:val="0"/>
        <w:widowControl/>
      </w:pPr>
      <w:r>
        <w:rPr>
          <w:rFonts w:ascii="Arial" w:hAnsi="Arial"/>
          <w:color w:val="263A43"/>
          <w:sz w:val="20"/>
        </w:rPr>
        <w:t>2. Confundir autorizado con cotitular o con heredero.</w:t>
      </w:r>
    </w:p>
    <w:p>
      <w:pPr>
        <w:keepNext w:val="0"/>
        <w:widowControl/>
      </w:pPr>
      <w:r>
        <w:rPr>
          <w:rFonts w:ascii="Arial" w:hAnsi="Arial"/>
          <w:color w:val="263A43"/>
          <w:sz w:val="20"/>
        </w:rPr>
        <w:t>3. Exigir información privada sin acreditar legitimación.</w:t>
      </w:r>
    </w:p>
    <w:p>
      <w:pPr>
        <w:keepNext w:val="0"/>
        <w:widowControl/>
      </w:pPr>
      <w:r>
        <w:rPr>
          <w:rFonts w:ascii="Arial" w:hAnsi="Arial"/>
          <w:color w:val="263A43"/>
          <w:sz w:val="20"/>
        </w:rPr>
        <w:t>4. Bloquear suministros esenciales o fondos ajenos mediante instrucciones generales no revisadas.</w:t>
      </w:r>
    </w:p>
    <w:p>
      <w:pPr>
        <w:pStyle w:val="Heading1"/>
        <w:spacing w:before="140" w:after="80"/>
      </w:pPr>
      <w:r>
        <w:t>Cuándo acudir a un profesional</w:t>
      </w:r>
    </w:p>
    <w:p>
      <w:pPr>
        <w:keepNext w:val="0"/>
        <w:widowControl/>
        <w:jc w:val="both"/>
      </w:pPr>
      <w:r>
        <w:rPr>
          <w:rFonts w:ascii="Arial" w:hAnsi="Arial"/>
          <w:color w:val="263A43"/>
          <w:sz w:val="20"/>
        </w:rPr>
        <w:t>Abogado si hay disposiciones posteriores discutidas, cuentas conjuntas, oposición de titulares o perjuicio por bloqueo. Notario para obtener o formalizar el título y los actos sucesorios que correspondan. No se exige procurador para esta comunicación.</w:t>
      </w:r>
    </w:p>
    <w:p>
      <w:pPr>
        <w:pStyle w:val="Heading1"/>
        <w:spacing w:before="140" w:after="80"/>
      </w:pPr>
      <w:r>
        <w:t>Plazos y presentación</w:t>
      </w:r>
    </w:p>
    <w:p>
      <w:pPr>
        <w:keepNext w:val="0"/>
        <w:widowControl/>
        <w:jc w:val="both"/>
      </w:pPr>
      <w:r>
        <w:rPr>
          <w:rFonts w:ascii="Arial" w:hAnsi="Arial"/>
          <w:color w:val="263A43"/>
          <w:sz w:val="20"/>
        </w:rPr>
        <w:t>Comunique el fallecimiento con prontitud y conserve justificante. La apertura del expediente bancario no suspende los plazos fiscales. En el régimen general del Reglamento del ISD, el plazo sucesorio es de seis meses desde el fallecimiento y la prórroga se solicita dentro de los cinco primeros meses. Compruebe Administración competente, normativa territorial y requisitos. La negociación privada no amplía por sí sola estos plazos.</w:t>
      </w:r>
    </w:p>
    <w:p>
      <w:pPr>
        <w:pStyle w:val="Heading1"/>
        <w:spacing w:before="140" w:after="80"/>
      </w:pPr>
      <w:r>
        <w:t>Fuentes oficiales verificadas</w:t>
      </w:r>
    </w:p>
    <w:p>
      <w:pPr>
        <w:keepNext w:val="0"/>
        <w:widowControl/>
        <w:jc w:val="both"/>
      </w:pPr>
      <w:r>
        <w:rPr>
          <w:rFonts w:ascii="Arial" w:hAnsi="Arial"/>
          <w:color w:val="263A43"/>
          <w:sz w:val="20"/>
        </w:rPr>
        <w:t>Revisión documental y normativa a 13/09/2026. No equivale a revisión de un caso concreto ni a formulario oficial aprobado por una Administración.</w:t>
      </w:r>
    </w:p>
    <w:p>
      <w:pPr>
        <w:keepNext w:val="0"/>
        <w:widowControl/>
      </w:pPr>
      <w:hyperlink r:id="rId11">
        <w:r>
          <w:rPr>
            <w:color w:val="2E7CF6"/>
            <w:u w:val="single"/>
          </w:rPr>
          <w:t>1. Qué pasa cuando fallece el titular de una cuenta — Banco de España, Cliente Bancario. Consecuencias del fallecimiento, autorizados, recibos y tramitación diligente. Verificación: 2026-09-13.</w:t>
        </w:r>
      </w:hyperlink>
    </w:p>
    <w:p>
      <w:pPr>
        <w:keepNext w:val="0"/>
        <w:widowControl/>
      </w:pPr>
      <w:hyperlink r:id="rId12">
        <w:r>
          <w:rPr>
            <w:color w:val="2E7CF6"/>
            <w:u w:val="single"/>
          </w:rPr>
          <w:t>2. Acreditación de la condición de heredero — Banco de España, Cliente Bancario. Acreditación de legitimación para información sucesoria. Verificación: 2026-09-13.</w:t>
        </w:r>
      </w:hyperlink>
    </w:p>
    <w:p>
      <w:pPr>
        <w:keepNext w:val="0"/>
        <w:widowControl/>
      </w:pPr>
      <w:hyperlink r:id="rId13">
        <w:r>
          <w:rPr>
            <w:color w:val="2E7CF6"/>
            <w:u w:val="single"/>
          </w:rPr>
          <w:t>3. Certificado de posiciones del causante: gratuidad e independencia de la testamentaría — Banco de España, Cliente Bancario. Separación entre certificado gratuito y servicio de testamentaría. Verificación: 2026-09-13.</w:t>
        </w:r>
      </w:hyperlink>
    </w:p>
    <w:p>
      <w:pPr>
        <w:keepNext w:val="0"/>
        <w:widowControl/>
      </w:pPr>
      <w:hyperlink r:id="rId14">
        <w:r>
          <w:rPr>
            <w:color w:val="2E7CF6"/>
            <w:u w:val="single"/>
          </w:rPr>
          <w:t>4. Real Decreto 1629/1991, Reglamento del Impuesto sobre Sucesiones y Donaciones — BOE. Arts. 67-68: plazos fiscales generales. Verificación: 2026-09-13.</w:t>
        </w:r>
      </w:hyperlink>
    </w:p>
    <w:p>
      <w:pPr>
        <w:keepNext w:val="0"/>
        <w:widowControl/>
      </w:pPr>
      <w:r>
        <w:rPr>
          <w:rFonts w:ascii="Arial" w:hAnsi="Arial"/>
          <w:i/>
          <w:color w:val="68777D"/>
          <w:sz w:val="16"/>
        </w:rPr>
        <w:t>Revisión documental: 13 de septiembre de 2026. Comprueba vigencia, competencia, procedimiento y plazo en la fecha de uso.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clientebancario.bde.es/pcb/es/blog/que-pasa-cuando-fallece-el-titular-de-una-cuenta--resolvemos-tus-dudas.html" TargetMode="External"/><Relationship Id="rId12" Type="http://schemas.openxmlformats.org/officeDocument/2006/relationships/hyperlink" Target="https://clientebancario.bde.es/pcb/es/menu-horizontal/productosservici/herencias/guia-textual/Derechodeinformacionsobrelasposicionesdelcausante/Acreditacion_de_de6814e11eca761.html" TargetMode="External"/><Relationship Id="rId13" Type="http://schemas.openxmlformats.org/officeDocument/2006/relationships/hyperlink" Target="https://clientebancario.bde.es/pcb/es/menu-horizontal/productosservici/herencias/Certificado_de__887e4e667f08361.html" TargetMode="External"/><Relationship Id="rId14" Type="http://schemas.openxmlformats.org/officeDocument/2006/relationships/hyperlink" Target="https://www.boe.es/buscar/act.php?id=BOE-A-1991-2767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