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Lines w:val="0"/>
        <w:widowControl/>
        <w:spacing w:after="100"/>
      </w:pPr>
      <w:r>
        <w:rPr>
          <w:b/>
          <w:color w:val="123D43"/>
          <w:sz w:val="18"/>
        </w:rPr>
        <w:t>INMOBILIARIO</w:t>
      </w:r>
    </w:p>
    <w:p>
      <w:pPr>
        <w:pStyle w:val="Title"/>
        <w:keepLines w:val="0"/>
        <w:widowControl/>
        <w:spacing w:after="180"/>
        <w:jc w:val="center"/>
      </w:pPr>
      <w:r>
        <w:rPr>
          <w:rFonts w:ascii="Georgia" w:hAnsi="Georgia"/>
          <w:b/>
          <w:color w:val="000000"/>
          <w:sz w:val="42"/>
        </w:rPr>
        <w:t>Comunicación de defectos en una vivienda comprada</w:t>
      </w:r>
    </w:p>
    <w:p>
      <w:pPr>
        <w:keepLines w:val="0"/>
        <w:widowControl/>
        <w:spacing w:after="160"/>
      </w:pPr>
      <w:r>
        <w:t>Comunica al destinatario identificado los defectos observados, su documentación y una petición concreta de inspección y respuesta.</w:t>
      </w:r>
    </w:p>
    <w:p>
      <w:pPr>
        <w:pStyle w:val="Heading1"/>
        <w:keepNext/>
        <w:keepLines w:val="0"/>
        <w:widowControl/>
        <w:spacing w:before="160" w:after="80"/>
        <w:jc w:val="center"/>
      </w:pPr>
      <w:r>
        <w:rPr>
          <w:rFonts w:ascii="Arial" w:hAnsi="Arial"/>
          <w:b/>
          <w:color w:val="000000"/>
          <w:sz w:val="24"/>
        </w:rPr>
        <w:t>Instrucciones que debes separar de la plantilla</w:t>
      </w:r>
    </w:p>
    <w:p>
      <w:pPr>
        <w:keepLines w:val="0"/>
        <w:widowControl/>
        <w:spacing w:after="100"/>
      </w:pPr>
      <w:r>
        <w:t>Este escrito permite ordenar una comunicación inicial de defectos tras comprar una vivienda. No determina que sean vicios ocultos, incumplimiento contractual o defectos de construcción. La acción, el responsable y los plazos deben revisarse según los hechos y la ley aplicable.</w:t>
      </w:r>
    </w:p>
    <w:p>
      <w:pPr>
        <w:pStyle w:val="Heading2"/>
        <w:keepNext/>
        <w:keepLines w:val="0"/>
        <w:widowControl/>
        <w:spacing w:before="160" w:after="80"/>
      </w:pPr>
      <w:r>
        <w:rPr>
          <w:rFonts w:ascii="Arial" w:hAnsi="Arial"/>
          <w:b/>
          <w:color w:val="000000"/>
          <w:sz w:val="21"/>
        </w:rPr>
        <w:t>Identifica la vía y el destinatario</w:t>
      </w:r>
    </w:p>
    <w:p>
      <w:pPr>
        <w:keepLines w:val="0"/>
        <w:widowControl/>
        <w:spacing w:after="80"/>
      </w:pPr>
      <w:r>
        <w:t>Reúne reserva, arras, contrato, escritura, fecha de entrega y documentos de la obra. No envíes indiscriminadamente la misma reclamación a vendedor, promotor, constructor, técnicos o aseguradora: comprueba la obligación que corresponde a cada destinatario.</w:t>
      </w:r>
    </w:p>
    <w:p>
      <w:pPr>
        <w:pStyle w:val="Heading2"/>
        <w:keepNext/>
        <w:keepLines w:val="0"/>
        <w:widowControl/>
        <w:spacing w:before="160" w:after="80"/>
      </w:pPr>
      <w:r>
        <w:rPr>
          <w:rFonts w:ascii="Arial" w:hAnsi="Arial"/>
          <w:b/>
          <w:color w:val="000000"/>
          <w:sz w:val="21"/>
        </w:rPr>
        <w:t>Prueba y seguridad</w:t>
      </w:r>
    </w:p>
    <w:p>
      <w:pPr>
        <w:keepLines w:val="0"/>
        <w:widowControl/>
        <w:spacing w:after="80"/>
      </w:pPr>
      <w:r>
        <w:t>Guarda fotografías fechadas, mensajes, presupuestos e informes. Si la causa no consta, describe el síntoma y solicita valoración técnica. Ante un riesgo urgente, protege a las personas y documenta las actuaciones de mitigación; no retrases una reparación imprescindible solo para conservar la prueba.</w:t>
      </w:r>
    </w:p>
    <w:p>
      <w:pPr>
        <w:pStyle w:val="Heading2"/>
        <w:keepNext/>
        <w:keepLines w:val="0"/>
        <w:widowControl/>
        <w:spacing w:before="160" w:after="80"/>
      </w:pPr>
      <w:r>
        <w:rPr>
          <w:rFonts w:ascii="Arial" w:hAnsi="Arial"/>
          <w:b/>
          <w:color w:val="000000"/>
          <w:sz w:val="21"/>
        </w:rPr>
        <w:t>Ejemplo ficticio que debes eliminar</w:t>
      </w:r>
    </w:p>
    <w:p>
      <w:pPr>
        <w:keepLines w:val="0"/>
        <w:widowControl/>
        <w:spacing w:after="80"/>
      </w:pPr>
      <w:r>
        <w:t>Tras una lluvia aparece humedad en el techo del dormitorio. El comprador aporta fotos del día y un informe todavía pendiente de conclusión. Comunica dónde, cuándo y qué se observa; no afirma que la cubierta sea defectuosa ni que el vendedor lo ocultara si no tiene prueba.</w:t>
      </w:r>
    </w:p>
    <w:p>
      <w:pPr>
        <w:pStyle w:val="Heading2"/>
        <w:keepNext/>
        <w:keepLines w:val="0"/>
        <w:widowControl/>
        <w:spacing w:before="160" w:after="80"/>
      </w:pPr>
      <w:r>
        <w:rPr>
          <w:rFonts w:ascii="Arial" w:hAnsi="Arial"/>
          <w:b/>
          <w:color w:val="000000"/>
          <w:sz w:val="21"/>
        </w:rPr>
        <w:t>Plazos y negociación previa</w:t>
      </w:r>
    </w:p>
    <w:p>
      <w:pPr>
        <w:keepLines w:val="0"/>
        <w:widowControl/>
        <w:spacing w:after="80"/>
      </w:pPr>
      <w:r>
        <w:t>Las garantías de aparición de daños, los plazos para ejercitar acciones y sus posibles interrupciones no son lo mismo. Código Civil común, derecho civil territorial y LOE pueden ofrecer vías diferentes. Una comunicación genérica no asegura la conservación de todas las acciones ni cumple por sí sola los requisitos de un MASC. No esperes a una respuesta para revisar un vencimiento.</w:t>
      </w:r>
    </w:p>
    <w:p>
      <w:pPr>
        <w:pStyle w:val="Heading2"/>
        <w:keepNext/>
        <w:keepLines w:val="0"/>
        <w:widowControl/>
        <w:spacing w:before="160" w:after="80"/>
      </w:pPr>
      <w:r>
        <w:rPr>
          <w:rFonts w:ascii="Arial" w:hAnsi="Arial"/>
          <w:b/>
          <w:color w:val="000000"/>
          <w:sz w:val="21"/>
        </w:rPr>
        <w:t>Fuentes y revisión</w:t>
      </w:r>
    </w:p>
    <w:p>
      <w:pPr>
        <w:keepLines w:val="0"/>
        <w:widowControl/>
        <w:spacing w:after="80"/>
      </w:pPr>
      <w:r>
        <w:t>Código Civil, artículos 1101, 1124 y 1484 a 1490; LOE, artículos 17 y 18, cuando corresponda. En Cataluña debe comprobarse el régimen de conformidad de la compraventa y los remedios del libro sexto. No se trasladan los plazos del Código Civil común a todos los casos.</w:t>
      </w:r>
    </w:p>
    <w:p>
      <w:pPr>
        <w:keepLines w:val="0"/>
        <w:widowControl/>
        <w:spacing w:after="60"/>
      </w:pPr>
      <w:hyperlink r:id="rId19">
        <w:r>
          <w:rPr>
            <w:color w:val="286A85"/>
            <w:u w:val="single"/>
          </w:rPr>
          <w:t>Código Civil</w:t>
        </w:r>
      </w:hyperlink>
    </w:p>
    <w:p>
      <w:pPr>
        <w:keepLines w:val="0"/>
        <w:widowControl/>
        <w:spacing w:after="60"/>
      </w:pPr>
      <w:hyperlink r:id="rId20">
        <w:r>
          <w:rPr>
            <w:color w:val="286A85"/>
            <w:u w:val="single"/>
          </w:rPr>
          <w:t>Ley 38/1999 de Ordenación de la Edificación</w:t>
        </w:r>
      </w:hyperlink>
    </w:p>
    <w:p>
      <w:pPr>
        <w:keepLines w:val="0"/>
        <w:widowControl/>
        <w:spacing w:after="60"/>
      </w:pPr>
      <w:hyperlink r:id="rId21">
        <w:r>
          <w:rPr>
            <w:color w:val="286A85"/>
            <w:u w:val="single"/>
          </w:rPr>
          <w:t>Libro sexto del Código civil de Cataluña</w:t>
        </w:r>
      </w:hyperlink>
    </w:p>
    <w:p>
      <w:pPr>
        <w:keepLines w:val="0"/>
        <w:widowControl/>
        <w:spacing w:after="60"/>
      </w:pPr>
      <w:hyperlink r:id="rId22">
        <w:r>
          <w:rPr>
            <w:color w:val="286A85"/>
            <w:u w:val="single"/>
          </w:rPr>
          <w:t>Ley Orgánica 1/2025 sobre negociación previa</w:t>
        </w:r>
      </w:hyperlink>
    </w:p>
    <w:p>
      <w:pPr>
        <w:keepLines w:val="0"/>
        <w:widowControl/>
        <w:spacing w:after="80"/>
      </w:pPr>
      <w:r>
        <w:t>Revisión de contenido de 28 de octubre de 2026. Completa los campos azules con hechos reales, elimina los ejemplos e instrucciones y revisa destinatario, documentos y firma. Conserva una copia y la prueba de envío o entrega cuando proceda.</w:t>
      </w:r>
    </w:p>
    <w:p>
      <w:r>
        <w:br w:type="page"/>
      </w:r>
    </w:p>
    <w:p>
      <w:pPr>
        <w:pStyle w:val="Heading1"/>
        <w:keepNext/>
        <w:keepLines w:val="0"/>
        <w:widowControl/>
        <w:spacing w:before="160" w:after="80"/>
        <w:jc w:val="center"/>
      </w:pPr>
      <w:r>
        <w:rPr>
          <w:rFonts w:ascii="Arial" w:hAnsi="Arial"/>
          <w:b/>
          <w:color w:val="000000"/>
          <w:sz w:val="24"/>
        </w:rPr>
        <w:t>Comunicación de defectos de la vivienda adquirida</w:t>
      </w:r>
    </w:p>
    <w:p>
      <w:pPr>
        <w:keepLines w:val="0"/>
        <w:widowControl/>
      </w:pPr>
      <w:r>
        <w:t xml:space="preserve">Remitente: </w:t>
      </w:r>
      <w:r>
        <w:rPr>
          <w:color w:val="397CDD"/>
        </w:rPr>
        <w:t>[NOMBRE Y DOMICILIO O CANAL PARA RESPUESTA]</w:t>
      </w:r>
      <w:r>
        <w:t>.</w:t>
        <w:br/>
        <w:t xml:space="preserve">Destinatario: </w:t>
      </w:r>
      <w:r>
        <w:rPr>
          <w:color w:val="397CDD"/>
        </w:rPr>
        <w:t>[PERSONA O ENTIDAD Y DIRECCIÓN COMPROBADA]</w:t>
      </w:r>
      <w:r>
        <w:t>.</w:t>
        <w:br/>
        <w:t xml:space="preserve">Vivienda y anexos afectados: </w:t>
      </w:r>
      <w:r>
        <w:rPr>
          <w:color w:val="397CDD"/>
        </w:rPr>
        <w:t>[DIRECCIÓN E IDENTIFICACIÓN NECESARIA]</w:t>
      </w:r>
      <w:r>
        <w:t>.</w:t>
      </w:r>
    </w:p>
    <w:p>
      <w:pPr>
        <w:keepLines w:val="0"/>
        <w:widowControl/>
      </w:pPr>
      <w:r>
        <w:t xml:space="preserve">Contrato o escritura de </w:t>
      </w:r>
      <w:r>
        <w:rPr>
          <w:color w:val="397CDD"/>
        </w:rPr>
        <w:t>[FECHA]</w:t>
      </w:r>
      <w:r>
        <w:t xml:space="preserve">, con entrega de la vivienda el </w:t>
      </w:r>
      <w:r>
        <w:rPr>
          <w:color w:val="397CDD"/>
        </w:rPr>
        <w:t>[FECHA]</w:t>
      </w:r>
      <w:r>
        <w:t xml:space="preserve">. Me dirijo a usted en condición de </w:t>
      </w:r>
      <w:r>
        <w:rPr>
          <w:color w:val="397CDD"/>
        </w:rPr>
        <w:t>[VENDEDOR U OTRA INTERVENCIÓN ACREDITADA DEL DESTINATARIO]</w:t>
      </w:r>
      <w:r>
        <w:t xml:space="preserve">. Adjunto </w:t>
      </w:r>
      <w:r>
        <w:rPr>
          <w:color w:val="397CDD"/>
        </w:rPr>
        <w:t>[DOCUMENTO QUE ACREDITA LA RELACIÓN, CON DATOS AJENOS OCULTOS]</w:t>
      </w:r>
      <w:r>
        <w:t>.</w:t>
      </w:r>
    </w:p>
    <w:p>
      <w:pPr>
        <w:pStyle w:val="Heading2"/>
        <w:keepNext/>
        <w:keepLines w:val="0"/>
        <w:widowControl/>
        <w:spacing w:before="160" w:after="80"/>
      </w:pPr>
      <w:r>
        <w:rPr>
          <w:rFonts w:ascii="Arial" w:hAnsi="Arial"/>
          <w:b/>
          <w:color w:val="000000"/>
          <w:sz w:val="21"/>
        </w:rPr>
        <w:t>Hechos observados</w:t>
      </w:r>
    </w:p>
    <w:p>
      <w:pPr>
        <w:keepLines w:val="0"/>
        <w:widowControl/>
      </w:pPr>
      <w:r>
        <w:t>He detectado las siguientes incidencias, que describo sin anticipar una conclusión técnica o jurídica sobre su origen: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556"/>
      </w:tblGrid>
      <w:tr>
        <w:trPr>
          <w:tblHeader w:val="true"/>
          <w:cantSplit/>
        </w:trPr>
        <w:tc>
          <w:tcPr>
            <w:tcW w:type="dxa" w:w="3969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123D43"/>
          </w:tcPr>
          <w:p>
            <w:pPr>
              <w:spacing w:before="0" w:after="40" w:line="245" w:lineRule="auto"/>
            </w:pPr>
            <w:r>
              <w:rPr>
                <w:b/>
                <w:color w:val="FFFFFF"/>
                <w:sz w:val="20"/>
              </w:rPr>
              <w:t>Defecto y localización</w:t>
            </w:r>
          </w:p>
        </w:tc>
        <w:tc>
          <w:tcPr>
            <w:tcW w:type="dxa" w:w="5556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123D43"/>
          </w:tcPr>
          <w:p>
            <w:pPr>
              <w:spacing w:before="0" w:after="40" w:line="245" w:lineRule="auto"/>
            </w:pPr>
            <w:r>
              <w:rPr>
                <w:b/>
                <w:color w:val="FFFFFF"/>
                <w:sz w:val="20"/>
              </w:rPr>
              <w:t>Cuándo se observó y prueba</w:t>
            </w:r>
          </w:p>
        </w:tc>
      </w:tr>
      <w:tr>
        <w:trPr>
          <w:cantSplit/>
        </w:trPr>
        <w:tc>
          <w:tcPr>
            <w:tcW w:type="dxa" w:w="3969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0" w:after="40" w:line="245" w:lineRule="auto"/>
            </w:pPr>
            <w:r>
              <w:rPr>
                <w:sz w:val="20"/>
              </w:rPr>
            </w:r>
            <w:r>
              <w:rPr>
                <w:color w:val="397CDD"/>
                <w:sz w:val="20"/>
              </w:rPr>
              <w:t>[INCIDENCIA 1]</w:t>
            </w:r>
          </w:p>
        </w:tc>
        <w:tc>
          <w:tcPr>
            <w:tcW w:type="dxa" w:w="5556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0" w:after="40" w:line="245" w:lineRule="auto"/>
            </w:pPr>
            <w:r>
              <w:rPr>
                <w:sz w:val="20"/>
              </w:rPr>
            </w:r>
            <w:r>
              <w:rPr>
                <w:color w:val="397CDD"/>
                <w:sz w:val="20"/>
              </w:rPr>
              <w:t>[FECHA EVOLUCIÓN FOTOS INFORME Y ANEXO]</w:t>
            </w:r>
          </w:p>
        </w:tc>
      </w:tr>
      <w:tr>
        <w:trPr>
          <w:cantSplit/>
        </w:trPr>
        <w:tc>
          <w:tcPr>
            <w:tcW w:type="dxa" w:w="3969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0" w:after="40" w:line="245" w:lineRule="auto"/>
            </w:pPr>
            <w:r>
              <w:rPr>
                <w:sz w:val="20"/>
              </w:rPr>
            </w:r>
            <w:r>
              <w:rPr>
                <w:color w:val="397CDD"/>
                <w:sz w:val="20"/>
              </w:rPr>
              <w:t>[INCIDENCIA 2 O ELIMINAR]</w:t>
            </w:r>
          </w:p>
        </w:tc>
        <w:tc>
          <w:tcPr>
            <w:tcW w:type="dxa" w:w="5556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0" w:after="40" w:line="245" w:lineRule="auto"/>
            </w:pPr>
            <w:r>
              <w:rPr>
                <w:sz w:val="20"/>
              </w:rPr>
            </w:r>
            <w:r>
              <w:rPr>
                <w:color w:val="397CDD"/>
                <w:sz w:val="20"/>
              </w:rPr>
              <w:t>[FECHA EVOLUCIÓN FOTOS INFORME Y ANEXO]</w:t>
            </w:r>
          </w:p>
        </w:tc>
      </w:tr>
    </w:tbl>
    <w:p>
      <w:pPr>
        <w:keepLines w:val="0"/>
        <w:widowControl/>
        <w:spacing w:after="40"/>
      </w:pPr>
    </w:p>
    <w:p>
      <w:pPr>
        <w:keepLines w:val="0"/>
        <w:widowControl/>
      </w:pPr>
      <w:r>
        <w:t xml:space="preserve">La documentación o información recibida antes de comprar sobre estos elementos fue </w:t>
      </w:r>
      <w:r>
        <w:rPr>
          <w:color w:val="397CDD"/>
        </w:rPr>
        <w:t>[DESCRIBIR Y CITAR DOCUMENTO; O NO DISPONGO DE INFORMACIÓN]</w:t>
      </w:r>
      <w:r>
        <w:t xml:space="preserve">. La situación anterior que puedo acreditar es </w:t>
      </w:r>
      <w:r>
        <w:rPr>
          <w:color w:val="397CDD"/>
        </w:rPr>
        <w:t>[HECHOS Y PRUEBA]</w:t>
      </w:r>
      <w:r>
        <w:t xml:space="preserve">. El informe técnico disponible indica </w:t>
      </w:r>
      <w:r>
        <w:rPr>
          <w:color w:val="397CDD"/>
        </w:rPr>
        <w:t>[CONCLUSIÓN REAL Y AUTOR]</w:t>
      </w:r>
      <w:r>
        <w:t xml:space="preserve">; queda pendiente </w:t>
      </w:r>
      <w:r>
        <w:rPr>
          <w:color w:val="397CDD"/>
        </w:rPr>
        <w:t>[COMPROBACIÓN O INFORME]</w:t>
      </w:r>
      <w:r>
        <w:t>.</w:t>
      </w:r>
    </w:p>
    <w:p>
      <w:pPr>
        <w:keepLines w:val="0"/>
        <w:widowControl/>
      </w:pPr>
      <w:r>
        <w:t xml:space="preserve">Las consecuencias observadas son </w:t>
      </w:r>
      <w:r>
        <w:rPr>
          <w:color w:val="397CDD"/>
        </w:rPr>
        <w:t>[AFECTACIÓN DEL USO, DAÑOS Y GASTOS ACREDITADOS]</w:t>
      </w:r>
      <w:r>
        <w:t xml:space="preserve">. Las medidas urgentes adoptadas han sido </w:t>
      </w:r>
      <w:r>
        <w:rPr>
          <w:color w:val="397CDD"/>
        </w:rPr>
        <w:t>[ACTUACIONES, MOTIVO, FECHA Y JUSTIFICANTES; O NINGUNA]</w:t>
      </w:r>
      <w:r>
        <w:t xml:space="preserve">. Los presupuestos aún no ejecutados se identifican como tales: </w:t>
      </w:r>
      <w:r>
        <w:rPr>
          <w:color w:val="397CDD"/>
        </w:rPr>
        <w:t>[DETALLE O NO EXISTEN]</w:t>
      </w:r>
      <w:r>
        <w:t>.</w:t>
      </w:r>
    </w:p>
    <w:p>
      <w:pPr>
        <w:pStyle w:val="Heading2"/>
        <w:keepNext/>
        <w:keepLines w:val="0"/>
        <w:widowControl/>
        <w:spacing w:before="160" w:after="80"/>
      </w:pPr>
      <w:r>
        <w:rPr>
          <w:rFonts w:ascii="Arial" w:hAnsi="Arial"/>
          <w:b/>
          <w:color w:val="000000"/>
          <w:sz w:val="21"/>
        </w:rPr>
        <w:t>Petición y acceso para comprobaciones</w:t>
      </w:r>
    </w:p>
    <w:p>
      <w:pPr>
        <w:keepLines w:val="0"/>
        <w:widowControl/>
      </w:pPr>
      <w:r>
        <w:t xml:space="preserve">Solicito que confirme la recepción y proponga una inspección o comprobación técnica coordinada. Pido que comunique su posición sobre </w:t>
      </w:r>
      <w:r>
        <w:rPr>
          <w:color w:val="397CDD"/>
        </w:rPr>
        <w:t>[INCIDENCIAS CONCRETAS]</w:t>
      </w:r>
      <w:r>
        <w:t xml:space="preserve"> y, si corresponde, una propuesta documentada de reparación o solución que identifique alcance, responsable, condiciones y plazo.</w:t>
      </w:r>
    </w:p>
    <w:p>
      <w:pPr>
        <w:keepLines w:val="0"/>
        <w:widowControl/>
      </w:pPr>
      <w:r>
        <w:t xml:space="preserve">Propongo como fecha para recibir una primera respuesta </w:t>
      </w:r>
      <w:r>
        <w:rPr>
          <w:color w:val="397CDD"/>
        </w:rPr>
        <w:t>[FECHA RAZONABLE]</w:t>
      </w:r>
      <w:r>
        <w:t xml:space="preserve">. Es una solicitud de respuesta y no un plazo legal que sustituya los vencimientos aplicables. Para coordinar una visita pueden utilizar </w:t>
      </w:r>
      <w:r>
        <w:rPr>
          <w:color w:val="397CDD"/>
        </w:rPr>
        <w:t>[CANAL]</w:t>
      </w:r>
      <w:r>
        <w:t xml:space="preserve">, con disponibilidad </w:t>
      </w:r>
      <w:r>
        <w:rPr>
          <w:color w:val="397CDD"/>
        </w:rPr>
        <w:t>[FRANJAS]</w:t>
      </w:r>
      <w:r>
        <w:t>. Cualquier intervención se acordará previamente, salvo las medidas urgentes que procedan.</w:t>
      </w:r>
    </w:p>
    <w:p>
      <w:pPr>
        <w:keepLines w:val="0"/>
        <w:widowControl/>
      </w:pPr>
      <w:r>
        <w:t>Si considera que la incidencia corresponde a otra persona o entidad, solicito que explique su posición y facilite los datos de intervención o garantías pertinentes que pueda comunicar legítimamente. Esta petición no libera de una obligación que pueda corresponderle.</w:t>
      </w:r>
    </w:p>
    <w:p>
      <w:pPr>
        <w:pStyle w:val="Heading2"/>
        <w:keepNext/>
        <w:keepLines w:val="0"/>
        <w:widowControl/>
        <w:spacing w:before="160" w:after="80"/>
      </w:pPr>
      <w:r>
        <w:rPr>
          <w:rFonts w:ascii="Arial" w:hAnsi="Arial"/>
          <w:b/>
          <w:color w:val="000000"/>
          <w:sz w:val="21"/>
        </w:rPr>
        <w:t>Documentos y reserva de acciones</w:t>
      </w:r>
    </w:p>
    <w:p>
      <w:pPr>
        <w:keepLines w:val="0"/>
        <w:widowControl/>
      </w:pPr>
      <w:r>
        <w:t xml:space="preserve">Se acompañan </w:t>
      </w:r>
      <w:r>
        <w:rPr>
          <w:color w:val="397CDD"/>
        </w:rPr>
        <w:t>[ANEXOS NUMERADOS: CONTRATO O EXTRACTO, ENTREGA, FOTOGRAFÍAS, INFORME, FACTURAS, PRESUPUESTOS Y COMUNICACIONES PERTINENTES]</w:t>
      </w:r>
      <w:r>
        <w:t>. Conservo los originales y la documentación no necesaria para este primer envío.</w:t>
      </w:r>
    </w:p>
    <w:p>
      <w:pPr>
        <w:keepLines w:val="0"/>
        <w:widowControl/>
      </w:pPr>
      <w:r>
        <w:t>Esta comunicación no supone aceptar una causa, valoración o reparación todavía no comprobada, ni renunciar a las acciones que procedan. La petición se formula con la información disponible, pendiente de concretar el fundamento y alcance de la reclamación cuando resulte necesario.</w:t>
      </w:r>
    </w:p>
    <w:p>
      <w:pPr>
        <w:keepLines w:val="0"/>
        <w:widowControl/>
      </w:pPr>
      <w:r>
        <w:t xml:space="preserve">En </w:t>
      </w:r>
      <w:r>
        <w:rPr>
          <w:color w:val="397CDD"/>
        </w:rPr>
        <w:t>[LOCALIDAD]</w:t>
      </w:r>
      <w:r>
        <w:t xml:space="preserve">, a </w:t>
      </w:r>
      <w:r>
        <w:rPr>
          <w:color w:val="397CDD"/>
        </w:rPr>
        <w:t>[FECHA]</w:t>
      </w:r>
      <w:r>
        <w:t>.</w:t>
        <w:br/>
        <w:t xml:space="preserve">Firma: </w:t>
      </w:r>
      <w:r>
        <w:rPr>
          <w:color w:val="397CDD"/>
        </w:rPr>
        <w:t>[NOMBRE Y CONDICIÓN DE QUIEN FIRMA]</w:t>
      </w:r>
      <w:r>
        <w:t>.</w:t>
        <w:br/>
        <w:t xml:space="preserve">Canal elegido para el envío y constancia de recepción: </w:t>
      </w:r>
      <w:r>
        <w:rPr>
          <w:color w:val="397CDD"/>
        </w:rPr>
        <w:t>[COMPLETAR AL REMITIR]</w:t>
      </w:r>
      <w:r>
        <w:t>.</w:t>
      </w:r>
    </w:p>
    <w:sectPr w:rsidR="00FC693F" w:rsidRPr="0006063C" w:rsidSect="00034616">
      <w:headerReference w:type="default" r:id="rId9"/>
      <w:footerReference w:type="default" r:id="rId10"/>
      <w:pgSz w:w="11909" w:h="16834"/>
      <w:pgMar w:top="1123" w:right="1181" w:bottom="1037" w:left="1181" w:header="432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right"/>
    </w:pPr>
    <w:r>
      <w:rPr>
        <w:rFonts w:ascii="Arial" w:hAnsi="Arial"/>
        <w:color w:val="68777D"/>
        <w:sz w:val="14"/>
      </w:rPr>
      <w:t xml:space="preserve">Modelo orientativo · Revisión profesional según el caso · perezburgosabogados.es   </w:t>
    </w:r>
    <w:r>
      <w:rPr>
        <w:rFonts w:ascii="Arial" w:hAnsi="Arial"/>
        <w:color w:val="68777D"/>
        <w:sz w:val="15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Georgia" w:hAnsi="Georgia"/>
        <w:b/>
        <w:color w:val="000000"/>
        <w:sz w:val="18"/>
      </w:rPr>
      <w:t>PÉREZ &amp; BURGOS</w:t>
    </w:r>
    <w:r>
      <w:rPr>
        <w:rFonts w:ascii="Arial" w:hAnsi="Arial"/>
        <w:b/>
        <w:color w:val="000000"/>
        <w:sz w:val="15"/>
      </w:rPr>
      <w:t xml:space="preserve">  ·  MODELOS JURÍDICOS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69" w:lineRule="auto"/>
      <w:jc w:val="left"/>
    </w:pPr>
    <w:rPr>
      <w:rFonts w:ascii="Arial" w:hAnsi="Arial"/>
      <w:color w:val="263A43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/>
      <w:outlineLvl w:val="0"/>
    </w:pPr>
    <w:rPr>
      <w:rFonts w:asciiTheme="majorHAnsi" w:eastAsiaTheme="majorEastAsia" w:hAnsiTheme="majorHAnsi" w:cstheme="majorBidi" w:ascii="Georgia" w:hAnsi="Georgia"/>
      <w:b/>
      <w:bCs/>
      <w:color w:val="000000"/>
      <w:sz w:val="3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Georgia" w:hAnsi="Georgia"/>
      <w:b/>
      <w:bCs/>
      <w:color w:val="000000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80"/>
      <w:outlineLvl w:val="2"/>
    </w:pPr>
    <w:rPr>
      <w:rFonts w:asciiTheme="majorHAnsi" w:eastAsiaTheme="majorEastAsia" w:hAnsiTheme="majorHAnsi" w:cstheme="majorBidi" w:ascii="Georgia" w:hAnsi="Georgia"/>
      <w:b/>
      <w:bCs/>
      <w:color w:val="102E3C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80" w:line="240" w:lineRule="auto" w:before="180"/>
      <w:contextualSpacing/>
    </w:pPr>
    <w:rPr>
      <w:rFonts w:asciiTheme="majorHAnsi" w:eastAsiaTheme="majorEastAsia" w:hAnsiTheme="majorHAnsi" w:cstheme="majorBidi" w:ascii="Georgia" w:hAnsi="Georgia"/>
      <w:b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www.boe.es/buscar/act.php?id=BOE-A-2004-18911" TargetMode="External"/><Relationship Id="rId12" Type="http://schemas.openxmlformats.org/officeDocument/2006/relationships/hyperlink" Target="https://www.boe.es/diario_boe/txt.php?id=BOE-A-2025-15424" TargetMode="External"/><Relationship Id="rId13" Type="http://schemas.openxmlformats.org/officeDocument/2006/relationships/hyperlink" Target="https://www.boe.es/buscar/act.php?id=BOE-A-2002-22188" TargetMode="External"/><Relationship Id="rId14" Type="http://schemas.openxmlformats.org/officeDocument/2006/relationships/hyperlink" Target="https://perezburgosabogados.es/modelo-cronologia-medica-laboral-y-economica-del-perjudicado/" TargetMode="External"/><Relationship Id="rId15" Type="http://schemas.openxmlformats.org/officeDocument/2006/relationships/hyperlink" Target="https://perezburgosabogados.es/documentos-reclamar-accidente-trafico/" TargetMode="External"/><Relationship Id="rId16" Type="http://schemas.openxmlformats.org/officeDocument/2006/relationships/hyperlink" Target="https://perezburgosabogados.es/secuelas-puntos-baremo-accidente-trafico/" TargetMode="External"/><Relationship Id="rId17" Type="http://schemas.openxmlformats.org/officeDocument/2006/relationships/hyperlink" Target="https://perezburgosabogados.es/gastos-futuros-accidente-trafico/" TargetMode="External"/><Relationship Id="rId18" Type="http://schemas.openxmlformats.org/officeDocument/2006/relationships/hyperlink" Target="https://perezburgosabogados.es/servicios/reclamar-accidente-trafico/" TargetMode="External"/><Relationship Id="rId19" Type="http://schemas.openxmlformats.org/officeDocument/2006/relationships/hyperlink" Target="https://www.boe.es/buscar/act.php?id=BOE-A-1889-4763" TargetMode="External"/><Relationship Id="rId20" Type="http://schemas.openxmlformats.org/officeDocument/2006/relationships/hyperlink" Target="https://www.boe.es/buscar/act.php?id=BOE-A-1999-21567" TargetMode="External"/><Relationship Id="rId21" Type="http://schemas.openxmlformats.org/officeDocument/2006/relationships/hyperlink" Target="https://www.boe.es/buscar/act.php?id=BOE-A-2017-2466" TargetMode="External"/><Relationship Id="rId22" Type="http://schemas.openxmlformats.org/officeDocument/2006/relationships/hyperlink" Target="https://www.boe.es/buscar/act.php?id=BOE-A-2025-7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Comunicación de defectos en una vivienda comprada</dc:title>
  <dc:subject>Modelo jurídico editable de vivienda</dc:subject>
  <dc:creator>Pérez &amp; Burgos Abogados</dc:creator>
  <cp:keywords/>
  <dc:description>Modelo orientativo con instrucciones separables y campos editables</dc:description>
  <cp:lastModifiedBy>Pérez &amp; Burgos Abogados</cp:lastModifiedBy>
  <cp:revision>1</cp:revision>
  <dcterms:created xsi:type="dcterms:W3CDTF">2026-10-28T10:09:13Z</dcterms:created>
  <dcterms:modified xsi:type="dcterms:W3CDTF">2026-10-28T10:09:13Z</dcterms:modified>
  <cp:category/>
  <dc:language>es-ES</dc:language>
</cp:coreProperties>
</file>