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widowControl/>
        <w:spacing w:after="110" w:line="276" w:lineRule="auto" w:before="180"/>
        <w:keepNext/>
        <w:keepLines/>
      </w:pPr>
      <w:r>
        <w:rPr>
          <w:rFonts w:ascii="Arial" w:hAnsi="Arial"/>
          <w:sz w:val="28"/>
          <w:color w:val="000000"/>
          <w:b/>
        </w:rPr>
        <w:t xml:space="preserve">Solicitud de cierre de cuenta bancaria</w:t>
      </w:r>
    </w:p>
    <w:p>
      <w:pPr>
        <w:jc w:val="both"/>
        <w:widowControl/>
        <w:spacing w:after="110" w:line="276" w:lineRule="auto"/>
      </w:pPr>
      <w:r>
        <w:rPr>
          <w:rFonts w:ascii="Arial" w:hAnsi="Arial"/>
          <w:sz w:val="21"/>
          <w:color w:val="000000"/>
          <w:b/>
        </w:rPr>
        <w:t xml:space="preserve">A [entidad y oficina o servicio competente]</w:t>
      </w:r>
    </w:p>
    <w:p>
      <w:pPr>
        <w:jc w:val="both"/>
        <w:widowControl/>
        <w:spacing w:after="110" w:line="276" w:lineRule="auto"/>
      </w:pPr>
      <w:r>
        <w:rPr>
          <w:rFonts w:ascii="Arial" w:hAnsi="Arial"/>
          <w:sz w:val="21"/>
          <w:color w:val="000000"/>
          <w:b/>
        </w:rPr>
        <w:t xml:space="preserve">Asunto:</w:t>
      </w:r>
      <w:r>
        <w:rPr>
          <w:rFonts w:ascii="Arial" w:hAnsi="Arial"/>
          <w:sz w:val="21"/>
          <w:color w:val="000000"/>
        </w:rPr>
        <w:t xml:space="preserve"> Resolución del contrato marco y cierre de la cuenta </w:t>
      </w:r>
      <w:r>
        <w:rPr>
          <w:rFonts w:ascii="Arial" w:hAnsi="Arial"/>
          <w:sz w:val="21"/>
          <w:color w:val="397CDD"/>
          <w:b/>
        </w:rPr>
        <w:t xml:space="preserve">[IBAN o referencia suficiente]</w:t>
      </w:r>
    </w:p>
    <w:p>
      <w:pPr>
        <w:jc w:val="both"/>
        <w:widowControl/>
        <w:spacing w:after="110" w:line="276" w:lineRule="auto"/>
      </w:pPr>
      <w:r>
        <w:rPr>
          <w:rFonts w:ascii="Arial" w:hAnsi="Arial"/>
          <w:sz w:val="21"/>
          <w:color w:val="000000"/>
        </w:rPr>
        <w:t xml:space="preserve">Yo, </w:t>
      </w:r>
      <w:r>
        <w:rPr>
          <w:rFonts w:ascii="Arial" w:hAnsi="Arial"/>
          <w:sz w:val="21"/>
          <w:color w:val="397CDD"/>
          <w:b/>
        </w:rPr>
        <w:t xml:space="preserve">[nombre e identificación necesaria por canal seguro]</w:t>
      </w:r>
      <w:r>
        <w:rPr>
          <w:rFonts w:ascii="Arial" w:hAnsi="Arial"/>
          <w:sz w:val="21"/>
          <w:color w:val="000000"/>
        </w:rPr>
        <w:t xml:space="preserve">, actúo como </w:t>
      </w:r>
      <w:r>
        <w:rPr>
          <w:rFonts w:ascii="Arial" w:hAnsi="Arial"/>
          <w:sz w:val="21"/>
          <w:color w:val="397CDD"/>
          <w:b/>
        </w:rPr>
        <w:t xml:space="preserve">[titular y facultad para solicitar el cierre]</w:t>
      </w:r>
      <w:r>
        <w:rPr>
          <w:rFonts w:ascii="Arial" w:hAnsi="Arial"/>
          <w:sz w:val="21"/>
          <w:color w:val="000000"/>
        </w:rPr>
        <w:t xml:space="preserve">. Los demás titulares y las autorizaciones que resultan necesarias constan en </w:t>
      </w:r>
      <w:r>
        <w:rPr>
          <w:rFonts w:ascii="Arial" w:hAnsi="Arial"/>
          <w:sz w:val="21"/>
          <w:color w:val="397CDD"/>
          <w:b/>
        </w:rPr>
        <w:t xml:space="preserve">[documento o identificación de la actuación conjunta]</w:t>
      </w:r>
      <w:r>
        <w:rPr>
          <w:rFonts w:ascii="Arial" w:hAnsi="Arial"/>
          <w:sz w:val="21"/>
          <w:color w:val="000000"/>
        </w:rPr>
        <w:t xml:space="preserve">.</w:t>
      </w:r>
    </w:p>
    <w:p>
      <w:pPr>
        <w:jc w:val="both"/>
        <w:widowControl/>
        <w:spacing w:after="110" w:line="276" w:lineRule="auto"/>
      </w:pPr>
      <w:r>
        <w:rPr>
          <w:rFonts w:ascii="Arial" w:hAnsi="Arial"/>
          <w:sz w:val="21"/>
          <w:color w:val="000000"/>
        </w:rPr>
        <w:t xml:space="preserve">Solicito la resolución del contrato marco y el cierre de la cuenta indicada, con liquidación detallada a </w:t>
      </w:r>
      <w:r>
        <w:rPr>
          <w:rFonts w:ascii="Arial" w:hAnsi="Arial"/>
          <w:sz w:val="21"/>
          <w:color w:val="397CDD"/>
          <w:b/>
        </w:rPr>
        <w:t xml:space="preserve">[fecha solicitada]</w:t>
      </w:r>
      <w:r>
        <w:rPr>
          <w:rFonts w:ascii="Arial" w:hAnsi="Arial"/>
          <w:sz w:val="21"/>
          <w:color w:val="000000"/>
        </w:rPr>
        <w:t xml:space="preserve">. El contrato fue abierto el </w:t>
      </w:r>
      <w:r>
        <w:rPr>
          <w:rFonts w:ascii="Arial" w:hAnsi="Arial"/>
          <w:sz w:val="21"/>
          <w:color w:val="397CDD"/>
          <w:b/>
        </w:rPr>
        <w:t xml:space="preserve">[fecha acreditada o indicar que se pide confirmación]</w:t>
      </w:r>
      <w:r>
        <w:rPr>
          <w:rFonts w:ascii="Arial" w:hAnsi="Arial"/>
          <w:sz w:val="21"/>
          <w:color w:val="000000"/>
        </w:rPr>
        <w:t xml:space="preserve">. Pido que se aplique la gratuidad que proceda conforme al artículo 32.3 del Real Decreto-ley 19/2018 y que se motive cualquier gasto que se considere exigible.</w:t>
      </w:r>
    </w:p>
    <w:p>
      <w:pPr>
        <w:jc w:val="both"/>
        <w:widowControl/>
        <w:spacing w:after="110" w:line="276" w:lineRule="auto"/>
      </w:pPr>
      <w:r>
        <w:rPr>
          <w:rFonts w:ascii="Arial" w:hAnsi="Arial"/>
          <w:sz w:val="21"/>
          <w:color w:val="000000"/>
        </w:rPr>
        <w:t xml:space="preserve">El saldo que resulte a mi favor deberá transferirse a </w:t>
      </w:r>
      <w:r>
        <w:rPr>
          <w:rFonts w:ascii="Arial" w:hAnsi="Arial"/>
          <w:sz w:val="21"/>
          <w:color w:val="397CDD"/>
          <w:b/>
        </w:rPr>
        <w:t xml:space="preserve">[cuenta de destino y titularidad acreditada]</w:t>
      </w:r>
      <w:r>
        <w:rPr>
          <w:rFonts w:ascii="Arial" w:hAnsi="Arial"/>
          <w:sz w:val="21"/>
          <w:color w:val="000000"/>
        </w:rPr>
        <w:t xml:space="preserve">. En caso de saldo deudor o partidas pendientes, solicito desglose de capital, intereses, comisiones y operaciones aún no liquidadas, con la documentación que permita comprobarlas.</w:t>
      </w:r>
    </w:p>
    <w:p>
      <w:pPr>
        <w:jc w:val="both"/>
        <w:widowControl/>
        <w:spacing w:after="110" w:line="276" w:lineRule="auto"/>
      </w:pPr>
      <w:r>
        <w:rPr>
          <w:rFonts w:ascii="Arial" w:hAnsi="Arial"/>
          <w:sz w:val="21"/>
          <w:color w:val="000000"/>
        </w:rPr>
        <w:t xml:space="preserve">Los productos y servicios vinculados conocidos son </w:t>
      </w:r>
      <w:r>
        <w:rPr>
          <w:rFonts w:ascii="Arial" w:hAnsi="Arial"/>
          <w:sz w:val="21"/>
          <w:color w:val="397CDD"/>
          <w:b/>
        </w:rPr>
        <w:t xml:space="preserve">[tarjetas, recibos, transferencias periódicas, seguros o préstamos, identificados por referencia]</w:t>
      </w:r>
      <w:r>
        <w:rPr>
          <w:rFonts w:ascii="Arial" w:hAnsi="Arial"/>
          <w:sz w:val="21"/>
          <w:color w:val="000000"/>
        </w:rPr>
        <w:t xml:space="preserve">. Para cada uno solicito que se indique la actuación necesaria para su cancelación, traslado o mantenimiento separado. La disposición de las tarjetas y medios de pago se realizará por </w:t>
      </w:r>
      <w:r>
        <w:rPr>
          <w:rFonts w:ascii="Arial" w:hAnsi="Arial"/>
          <w:sz w:val="21"/>
          <w:color w:val="397CDD"/>
          <w:b/>
        </w:rPr>
        <w:t xml:space="preserve">[procedimiento seguro acordado o pendiente de indicar por la entidad]</w:t>
      </w:r>
      <w:r>
        <w:rPr>
          <w:rFonts w:ascii="Arial" w:hAnsi="Arial"/>
          <w:sz w:val="21"/>
          <w:color w:val="000000"/>
        </w:rPr>
        <w:t xml:space="preserve">.</w:t>
      </w:r>
    </w:p>
    <w:p>
      <w:pPr>
        <w:jc w:val="both"/>
        <w:widowControl/>
        <w:spacing w:after="110" w:line="276" w:lineRule="auto"/>
      </w:pPr>
      <w:r>
        <w:rPr>
          <w:rFonts w:ascii="Arial" w:hAnsi="Arial"/>
          <w:sz w:val="21"/>
          <w:color w:val="000000"/>
        </w:rPr>
        <w:t xml:space="preserve">La solicitud no pretende extinguir préstamos ni obligaciones válidamente pendientes por el mero cierre de la cuenta. Si aprecian un impedimento concreto para ejecutarlo, solicito que lo identifiquen por escrito y expliquen la actuación necesaria para resolverlo, sin mantener cargos de un servicio no prestado por causa imputable a la entidad.</w:t>
      </w:r>
    </w:p>
    <w:p>
      <w:pPr>
        <w:jc w:val="both"/>
        <w:widowControl/>
        <w:spacing w:after="110" w:line="276" w:lineRule="auto"/>
      </w:pPr>
      <w:r>
        <w:rPr>
          <w:rFonts w:ascii="Arial" w:hAnsi="Arial"/>
          <w:sz w:val="21"/>
          <w:color w:val="000000"/>
        </w:rPr>
        <w:t xml:space="preserve">Solicito constancia de recepción, liquidación final, devolución proporcional de gastos periódicos anticipados que corresponda y confirmación escrita de la fecha efectiva de cierre. Designo </w:t>
      </w:r>
      <w:r>
        <w:rPr>
          <w:rFonts w:ascii="Arial" w:hAnsi="Arial"/>
          <w:sz w:val="21"/>
          <w:color w:val="397CDD"/>
          <w:b/>
        </w:rPr>
        <w:t xml:space="preserve">[canal de contacto seguro]</w:t>
      </w:r>
      <w:r>
        <w:rPr>
          <w:rFonts w:ascii="Arial" w:hAnsi="Arial"/>
          <w:sz w:val="21"/>
          <w:color w:val="000000"/>
        </w:rPr>
        <w:t xml:space="preserve"> para recibirla.</w:t>
      </w:r>
    </w:p>
    <w:p>
      <w:pPr>
        <w:jc w:val="both"/>
        <w:widowControl/>
        <w:spacing w:after="110" w:line="276" w:lineRule="auto"/>
      </w:pPr>
      <w:r>
        <w:rPr>
          <w:rFonts w:ascii="Arial" w:hAnsi="Arial"/>
          <w:sz w:val="21"/>
          <w:color w:val="000000"/>
        </w:rPr>
        <w:t xml:space="preserve">En </w:t>
      </w:r>
      <w:r>
        <w:rPr>
          <w:rFonts w:ascii="Arial" w:hAnsi="Arial"/>
          <w:sz w:val="21"/>
          <w:color w:val="397CDD"/>
          <w:b/>
        </w:rPr>
        <w:t xml:space="preserve">[localidad]</w:t>
      </w:r>
      <w:r>
        <w:rPr>
          <w:rFonts w:ascii="Arial" w:hAnsi="Arial"/>
          <w:sz w:val="21"/>
          <w:color w:val="000000"/>
        </w:rPr>
        <w:t xml:space="preserve">, a </w:t>
      </w:r>
      <w:r>
        <w:rPr>
          <w:rFonts w:ascii="Arial" w:hAnsi="Arial"/>
          <w:sz w:val="21"/>
          <w:color w:val="397CDD"/>
          <w:b/>
        </w:rPr>
        <w:t xml:space="preserve">[fecha]</w:t>
      </w:r>
      <w:r>
        <w:rPr>
          <w:rFonts w:ascii="Arial" w:hAnsi="Arial"/>
          <w:sz w:val="21"/>
          <w:color w:val="000000"/>
        </w:rPr>
        <w:t xml:space="preserve">.</w:t>
      </w:r>
    </w:p>
    <w:p>
      <w:pPr>
        <w:jc w:val="both"/>
        <w:widowControl/>
        <w:spacing w:after="110" w:line="276" w:lineRule="auto"/>
      </w:pPr>
      <w:r>
        <w:rPr>
          <w:rFonts w:ascii="Arial" w:hAnsi="Arial"/>
          <w:sz w:val="21"/>
          <w:color w:val="000000"/>
          <w:b/>
        </w:rPr>
        <w:t xml:space="preserve">[Nombre y firma de quienes deban intervenir]</w:t>
      </w:r>
    </w:p>
    <w:p>
      <w:r>
        <w:br w:type="page"/>
      </w:r>
    </w:p>
    <w:p>
      <w:pPr>
        <w:pStyle w:val="Title"/>
        <w:jc w:val="left"/>
        <w:widowControl/>
        <w:spacing w:after="110" w:line="276" w:lineRule="auto" w:before="180"/>
        <w:keepNext/>
        <w:keepLines/>
      </w:pPr>
      <w:r>
        <w:rPr>
          <w:rFonts w:ascii="Arial" w:hAnsi="Arial"/>
          <w:sz w:val="28"/>
          <w:color w:val="000000"/>
          <w:b/>
        </w:rPr>
        <w:t xml:space="preserve">Instrucciones y ejemplo de uso</w:t>
      </w:r>
    </w:p>
    <w:p>
      <w:pPr>
        <w:pStyle w:val="Heading1"/>
        <w:jc w:val="left"/>
        <w:widowControl/>
        <w:spacing w:after="110" w:line="276" w:lineRule="auto" w:before="180"/>
        <w:keepNext/>
        <w:keepLines/>
      </w:pPr>
      <w:r>
        <w:rPr>
          <w:rFonts w:ascii="Arial" w:hAnsi="Arial"/>
          <w:sz w:val="23"/>
          <w:color w:val="000000"/>
          <w:b/>
        </w:rPr>
        <w:t xml:space="preserve">Preparación</w:t>
      </w:r>
    </w:p>
    <w:p>
      <w:pPr>
        <w:jc w:val="left"/>
        <w:widowControl/>
        <w:spacing w:after="110" w:line="276" w:lineRule="auto"/>
      </w:pPr>
      <w:r>
        <w:rPr>
          <w:rFonts w:ascii="Arial" w:hAnsi="Arial"/>
          <w:sz w:val="21"/>
          <w:color w:val="000000"/>
        </w:rPr>
        <w:t xml:space="preserve">Compruebe titulares, facultades, saldo, operaciones pendientes y productos asociados. Traslade domiciliaciones y abonos antes de que queden sin atención. No comparta claves, PIN ni el número completo de una tarjeta por correo ordinario. Envíe solo el escrito por el canal admitido y guarde el acuse.</w:t>
      </w:r>
    </w:p>
    <w:p>
      <w:pPr>
        <w:pStyle w:val="Heading1"/>
        <w:jc w:val="left"/>
        <w:widowControl/>
        <w:spacing w:after="110" w:line="276" w:lineRule="auto" w:before="180"/>
        <w:keepNext/>
        <w:keepLines/>
      </w:pPr>
      <w:r>
        <w:rPr>
          <w:rFonts w:ascii="Arial" w:hAnsi="Arial"/>
          <w:sz w:val="23"/>
          <w:color w:val="000000"/>
          <w:b/>
        </w:rPr>
        <w:t xml:space="preserve">Regla de gastos</w:t>
      </w:r>
    </w:p>
    <w:p>
      <w:pPr>
        <w:jc w:val="left"/>
        <w:widowControl/>
        <w:spacing w:after="110" w:line="276" w:lineRule="auto"/>
      </w:pPr>
      <w:r>
        <w:rPr>
          <w:rFonts w:ascii="Arial" w:hAnsi="Arial"/>
          <w:sz w:val="21"/>
          <w:color w:val="000000"/>
        </w:rPr>
        <w:t xml:space="preserve">El artículo 32.3 establece gratuidad salvo contratos con menos de seis meses de vigencia; en ese caso, los gastos que procedan han de ser adecuados y acordes con los costes. La duración indefinida por sí sola no sustituye esa regla. Los gastos periódicos se liquidan proporcionalmente. No afirme «sin coste» sin comprobar el supuesto.</w:t>
      </w:r>
    </w:p>
    <w:p>
      <w:pPr>
        <w:pStyle w:val="Heading1"/>
        <w:jc w:val="left"/>
        <w:widowControl/>
        <w:spacing w:after="110" w:line="276" w:lineRule="auto" w:before="180"/>
        <w:keepNext/>
        <w:keepLines/>
      </w:pPr>
      <w:r>
        <w:rPr>
          <w:rFonts w:ascii="Arial" w:hAnsi="Arial"/>
          <w:sz w:val="23"/>
          <w:color w:val="000000"/>
          <w:b/>
        </w:rPr>
        <w:t xml:space="preserve">Plazo y alcance</w:t>
      </w:r>
    </w:p>
    <w:p>
      <w:pPr>
        <w:jc w:val="left"/>
        <w:widowControl/>
        <w:spacing w:after="110" w:line="276" w:lineRule="auto"/>
      </w:pPr>
      <w:r>
        <w:rPr>
          <w:rFonts w:ascii="Arial" w:hAnsi="Arial"/>
          <w:sz w:val="21"/>
          <w:color w:val="000000"/>
        </w:rPr>
        <w:t xml:space="preserve">El artículo 32.1 contempla la ejecución en 24 horas desde la solicitud del usuario en sus términos. Una incidencia real debe aclararse, sin confundir cierre con condonación, ni con la cancelación registral de una hipoteca. Si existe préstamo con cuenta instrumental, revise contrato y costes antes de escoger el destino.</w:t>
      </w:r>
    </w:p>
    <w:p>
      <w:pPr>
        <w:pStyle w:val="Heading1"/>
        <w:jc w:val="left"/>
        <w:widowControl/>
        <w:spacing w:after="110" w:line="276" w:lineRule="auto" w:before="180"/>
        <w:keepNext/>
        <w:keepLines/>
      </w:pPr>
      <w:r>
        <w:rPr>
          <w:rFonts w:ascii="Arial" w:hAnsi="Arial"/>
          <w:sz w:val="23"/>
          <w:color w:val="000000"/>
          <w:b/>
        </w:rPr>
        <w:t xml:space="preserve">Variantes útiles</w:t>
      </w:r>
    </w:p>
    <w:p>
      <w:pPr>
        <w:jc w:val="left"/>
        <w:widowControl/>
        <w:spacing w:after="110" w:line="276" w:lineRule="auto"/>
      </w:pPr>
      <w:r>
        <w:rPr>
          <w:rFonts w:ascii="Arial" w:hAnsi="Arial"/>
          <w:sz w:val="21"/>
          <w:color w:val="000000"/>
        </w:rPr>
        <w:t xml:space="preserve">Si hay cotitulares, ajuste quién firma y la autorización exigible. Si falta liquidación, conserve el párrafo de desglose. Si no hay productos asociados, indique expresamente que no se conocen otros en vez de dejar el campo vacío. No cierre una cuenta de sociedad usando una firma sin facultades.</w:t>
      </w:r>
    </w:p>
    <w:p>
      <w:pPr>
        <w:pStyle w:val="Heading1"/>
        <w:jc w:val="left"/>
        <w:widowControl/>
        <w:spacing w:after="110" w:line="276" w:lineRule="auto" w:before="180"/>
        <w:keepNext/>
        <w:keepLines/>
      </w:pPr>
      <w:r>
        <w:rPr>
          <w:rFonts w:ascii="Arial" w:hAnsi="Arial"/>
          <w:sz w:val="23"/>
          <w:color w:val="000000"/>
          <w:b/>
        </w:rPr>
        <w:t xml:space="preserve">Ejemplo ficticio</w:t>
      </w:r>
    </w:p>
    <w:p>
      <w:pPr>
        <w:jc w:val="left"/>
        <w:widowControl/>
        <w:spacing w:after="110" w:line="276" w:lineRule="auto"/>
      </w:pPr>
      <w:r>
        <w:rPr>
          <w:rFonts w:ascii="Arial" w:hAnsi="Arial"/>
          <w:sz w:val="21"/>
          <w:color w:val="000000"/>
        </w:rPr>
        <w:t xml:space="preserve">Raúl S. solicita cerrar una cuenta abierta hace dos años, indica otra cuenta propia de destino y relaciona una tarjeta y dos recibos ya trasladados. Pide comprobar una retención pendiente y la confirmación de cierre. No supone que el préstamo separado haya desaparecido.</w:t>
      </w:r>
    </w:p>
    <w:p>
      <w:pPr>
        <w:pStyle w:val="Heading1"/>
        <w:jc w:val="left"/>
        <w:widowControl/>
        <w:spacing w:after="110" w:line="276" w:lineRule="auto" w:before="180"/>
        <w:keepNext/>
        <w:keepLines/>
      </w:pPr>
      <w:r>
        <w:rPr>
          <w:rFonts w:ascii="Arial" w:hAnsi="Arial"/>
          <w:sz w:val="23"/>
          <w:color w:val="000000"/>
          <w:b/>
        </w:rPr>
        <w:t xml:space="preserve">Fuente</w:t>
      </w:r>
    </w:p>
    <w:p>
      <w:pPr>
        <w:jc w:val="left"/>
        <w:widowControl/>
        <w:spacing w:after="110" w:line="276" w:lineRule="auto"/>
      </w:pPr>
      <w:hyperlink r:id="rIdModel300_16">
        <w:r>
          <w:rPr>
            <w:rFonts w:ascii="Arial" w:hAnsi="Arial"/>
            <w:sz w:val="21"/>
            <w:color w:val="397CDD"/>
          </w:rPr>
          <w:t xml:space="preserve">Real Decreto-ley 19/2018 artículo 32</w:t>
        </w:r>
      </w:hyperlink>
      <w:r>
        <w:rPr>
          <w:rFonts w:ascii="Arial" w:hAnsi="Arial"/>
          <w:sz w:val="21"/>
          <w:color w:val="000000"/>
        </w:rPr>
        <w:t xml:space="preserve">.</w:t>
      </w:r>
    </w:p>
    <w:sectPr w:rsidR="00FC693F" w:rsidRPr="0006063C" w:rsidSect="00034616">
      <w:headerReference w:type="default" r:id="rId9"/>
      <w:footerReference w:type="default" r:id="rId10"/>
      <w:pgSz w:w="11909" w:h="16834"/>
      <w:pgMar w:top="1304" w:right="1304" w:bottom="1304" w:left="1304"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b/>
      <w:bCs/>
      <w:rFonts w:ascii="Arial" w:hAnsi="Arial"/>
      <w:color w:val="000000"/>
      <w:sz w:val="23"/>
    </w:rPr>
  </w:style>
  <w:style w:type="paragraph" w:styleId="Heading2">
    <w:name w:val="heading 2"/>
    <w:basedOn w:val="Normal"/>
    <w:next w:val="Normal"/>
    <w:link w:val="Heading2Char"/>
    <w:uiPriority w:val="9"/>
    <w:unhideWhenUsed/>
    <w:qFormat/>
    <w:rsid w:val="00FC693F"/>
    <w:pPr>
      <w:keepNext/>
      <w:keepLines/>
      <w:spacing w:before="180" w:after="80"/>
      <w:outlineLvl w:val="1"/>
    </w:pPr>
    <w:rPr>
      <w:b/>
      <w:bCs/>
      <w:rFonts w:ascii="Arial" w:hAnsi="Arial"/>
      <w:color w:val="000000"/>
      <w:sz w:val="23"/>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b/>
      <w:spacing w:val="5"/>
      <w:kern w:val="28"/>
      <w:rFonts w:ascii="Arial" w:hAnsi="Arial"/>
      <w:color w:val="000000"/>
      <w:sz w:val="2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889-4763" TargetMode="External"/><Relationship Id="rId12" Type="http://schemas.openxmlformats.org/officeDocument/2006/relationships/hyperlink" Target="https://eur-lex.europa.eu/legal-content/ES/TXT/?uri=CELEX:32012R0650" TargetMode="External"/><Relationship Id="rId13" Type="http://schemas.openxmlformats.org/officeDocument/2006/relationships/hyperlink" Target="https://www.boe.es/buscar/act.php?id=BOE-A-1991-27678" TargetMode="External"/><Relationship Id="rId14" Type="http://schemas.openxmlformats.org/officeDocument/2006/relationships/hyperlink" Target="https://clientebancario.bde.es/pcb/es/menu-horizontal/productosservici/herencias/guia-textual/Derechodeinformacionsobrelasposicionesdelcausante/Que_informacion_769a14e11eca761.html" TargetMode="External"/><Relationship Id="rIdLibrary15" Type="http://schemas.openxmlformats.org/officeDocument/2006/relationships/hyperlink" Target="https://www.boe.es/buscar/doc.php?id=DOUE-L-2022-81573" TargetMode="External"/><Relationship Id="rIdModel300_16" Type="http://schemas.openxmlformats.org/officeDocument/2006/relationships/hyperlink" Target="https://www.boe.es/buscar/act.php?id=BOE-A-2018-16036#ar-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2</Pages>
  <Words>571</Words>
  <Characters>3223</Characters>
  <Application>Codex</Application>
  <DocSecurity>0</DocSecurity>
  <Paragraphs>25</Paragraphs>
  <ScaleCrop>false</ScaleCrop>
  <HeadingPairs>
    <vt:vector size="2" baseType="variant">
      <vt:variant>
        <vt:lpstr>Title</vt:lpstr>
      </vt:variant>
      <vt:variant>
        <vt:i4>1</vt:i4>
      </vt:variant>
    </vt:vector>
  </HeadingPairs>
  <TitlesOfParts>
    <vt:vector size="1" baseType="lpstr">
      <vt:lpstr>Solicitud de cierre de cuenta bancaria</vt:lpstr>
    </vt:vector>
  </TitlesOfParts>
  <Manager/>
  <Company/>
  <LinksUpToDate>false</LinksUpToDate>
  <CharactersWithSpaces>3794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cierre de cuenta bancaria</dc:title>
  <dc:subject>Comunicación formal editable</dc:subject>
  <dc:creator/>
  <cp:keywords/>
  <dc:description>Modelo jurídico editable de Pérez &amp; Burgos Abogados</dc:description>
  <cp:lastModifiedBy/>
  <cp:revision>2</cp:revision>
  <dcterms:created xsi:type="dcterms:W3CDTF">2026-10-29T00:00:00Z</dcterms:created>
  <dcterms:modified xsi:type="dcterms:W3CDTF">2026-10-29T00:00:00Z</dcterms:modified>
  <cp:category>Civil</cp:category>
  <dc:language>es-ES</dc:language>
</cp:coreProperties>
</file>