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keepNext/>
        <w:keepLines/>
        <w:jc w:val="left"/>
        <w:spacing w:before="0" w:after="100" w:line="270" w:lineRule="auto"/>
      </w:pPr>
      <w:r>
        <w:rPr>
          <w:rFonts w:ascii="Liberation Sans" w:hAnsi="Liberation Sans" w:eastAsia="Liberation Sans"/>
          <w:sz w:val="42"/>
          <w:color w:val="000000"/>
          <w:b/>
        </w:rPr>
        <w:t xml:space="preserve">Anexo de salida de un servicio digital</w:t>
      </w:r>
    </w:p>
    <w:p>
      <w:pPr>
        <w:pStyle w:val="Normal"/>
        <w:widowControl/>
        <w:jc w:val="left"/>
        <w:spacing w:before="0" w:after="70" w:line="270" w:lineRule="auto"/>
      </w:pPr>
      <w:r>
        <w:rPr>
          <w:rFonts w:ascii="Liberation Sans" w:hAnsi="Liberation Sans" w:eastAsia="Liberation Sans"/>
          <w:sz w:val="21"/>
          <w:color w:val="000000"/>
        </w:rPr>
        <w:t xml:space="preserve">En </w:t>
      </w:r>
      <w:r>
        <w:rPr>
          <w:rFonts w:ascii="Liberation Sans" w:hAnsi="Liberation Sans" w:eastAsia="Liberation Sans"/>
          <w:sz w:val="21"/>
          <w:color w:val="2F80ED"/>
          <w:b/>
          <w:shd w:val="clear" w:fill="EAF1FB"/>
        </w:rPr>
        <w:t xml:space="preserve">[LUGAR]</w:t>
      </w:r>
      <w:r>
        <w:rPr>
          <w:rFonts w:ascii="Liberation Sans" w:hAnsi="Liberation Sans" w:eastAsia="Liberation Sans"/>
          <w:sz w:val="21"/>
          <w:color w:val="000000"/>
        </w:rPr>
        <w:t xml:space="preserve">, a </w:t>
      </w:r>
      <w:r>
        <w:rPr>
          <w:rFonts w:ascii="Liberation Sans" w:hAnsi="Liberation Sans" w:eastAsia="Liberation Sans"/>
          <w:sz w:val="21"/>
          <w:color w:val="2F80ED"/>
          <w:b/>
          <w:shd w:val="clear" w:fill="EAF1FB"/>
        </w:rPr>
        <w:t xml:space="preserve">[FECHA]</w:t>
      </w:r>
      <w:r>
        <w:rPr>
          <w:rFonts w:ascii="Liberation Sans" w:hAnsi="Liberation Sans" w:eastAsia="Liberation Sans"/>
          <w:sz w:val="21"/>
          <w:color w:val="000000"/>
        </w:rPr>
        <w:t xml:space="preserve">. Se incorpora al contrato de </w:t>
      </w:r>
      <w:r>
        <w:rPr>
          <w:rFonts w:ascii="Liberation Sans" w:hAnsi="Liberation Sans" w:eastAsia="Liberation Sans"/>
          <w:sz w:val="21"/>
          <w:color w:val="2F80ED"/>
          <w:b/>
          <w:shd w:val="clear" w:fill="EAF1FB"/>
        </w:rPr>
        <w:t xml:space="preserve">[SERVICIO Y FECHA]</w:t>
      </w:r>
      <w:r>
        <w:rPr>
          <w:rFonts w:ascii="Liberation Sans" w:hAnsi="Liberation Sans" w:eastAsia="Liberation Sans"/>
          <w:sz w:val="21"/>
          <w:color w:val="000000"/>
        </w:rPr>
        <w:t xml:space="preserve">, entre </w:t>
      </w:r>
      <w:r>
        <w:rPr>
          <w:rFonts w:ascii="Liberation Sans" w:hAnsi="Liberation Sans" w:eastAsia="Liberation Sans"/>
          <w:sz w:val="21"/>
          <w:color w:val="2F80ED"/>
          <w:b/>
          <w:shd w:val="clear" w:fill="EAF1FB"/>
        </w:rPr>
        <w:t xml:space="preserve">[CLIENTE Y REPRESENTANTE]</w:t>
      </w:r>
      <w:r>
        <w:rPr>
          <w:rFonts w:ascii="Liberation Sans" w:hAnsi="Liberation Sans" w:eastAsia="Liberation Sans"/>
          <w:sz w:val="21"/>
          <w:color w:val="000000"/>
        </w:rPr>
        <w:t xml:space="preserve"> y </w:t>
      </w:r>
      <w:r>
        <w:rPr>
          <w:rFonts w:ascii="Liberation Sans" w:hAnsi="Liberation Sans" w:eastAsia="Liberation Sans"/>
          <w:sz w:val="21"/>
          <w:color w:val="2F80ED"/>
          <w:b/>
          <w:shd w:val="clear" w:fill="EAF1FB"/>
        </w:rPr>
        <w:t xml:space="preserve">[PROVEEDOR Y REPRESENTANTE]</w:t>
      </w:r>
      <w:r>
        <w:rPr>
          <w:rFonts w:ascii="Liberation Sans" w:hAnsi="Liberation Sans" w:eastAsia="Liberation Sans"/>
          <w:sz w:val="21"/>
          <w:color w:val="000000"/>
        </w:rPr>
        <w:t xml:space="preserve">. Interlocutores autorizados: </w:t>
      </w:r>
      <w:r>
        <w:rPr>
          <w:rFonts w:ascii="Liberation Sans" w:hAnsi="Liberation Sans" w:eastAsia="Liberation Sans"/>
          <w:sz w:val="21"/>
          <w:color w:val="2F80ED"/>
          <w:b/>
          <w:shd w:val="clear" w:fill="EAF1FB"/>
        </w:rPr>
        <w:t xml:space="preserve">[CLIENTE; PROVEEDOR; DESTINATARIO TÉCNICO SI INTERVIENE]</w:t>
      </w:r>
      <w:r>
        <w:rPr>
          <w:rFonts w:ascii="Liberation Sans" w:hAnsi="Liberation Sans" w:eastAsia="Liberation Sans"/>
          <w:sz w:val="21"/>
          <w:color w:val="000000"/>
        </w:rPr>
        <w:t xml:space="preserve">.</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Objeto y alcance</w:t>
      </w:r>
    </w:p>
    <w:p>
      <w:pPr>
        <w:pStyle w:val="Normal"/>
        <w:widowControl/>
        <w:jc w:val="left"/>
        <w:spacing w:before="0" w:after="70" w:line="270" w:lineRule="auto"/>
      </w:pPr>
      <w:r>
        <w:rPr>
          <w:rFonts w:ascii="Liberation Sans" w:hAnsi="Liberation Sans" w:eastAsia="Liberation Sans"/>
          <w:sz w:val="21"/>
          <w:color w:val="000000"/>
        </w:rPr>
        <w:t xml:space="preserve">Las partes acuerdan las actuaciones, entregas y comprobaciones identificadas en este anexo para la salida del servicio </w:t>
      </w:r>
      <w:r>
        <w:rPr>
          <w:rFonts w:ascii="Liberation Sans" w:hAnsi="Liberation Sans" w:eastAsia="Liberation Sans"/>
          <w:sz w:val="21"/>
          <w:color w:val="2F80ED"/>
          <w:b/>
          <w:shd w:val="clear" w:fill="EAF1FB"/>
        </w:rPr>
        <w:t xml:space="preserve">[SERVICIO O PARTE AFECTADA]</w:t>
      </w:r>
      <w:r>
        <w:rPr>
          <w:rFonts w:ascii="Liberation Sans" w:hAnsi="Liberation Sans" w:eastAsia="Liberation Sans"/>
          <w:sz w:val="21"/>
          <w:color w:val="000000"/>
        </w:rPr>
        <w:t xml:space="preserve">. La fecha de terminación y el preaviso se rigen por </w:t>
      </w:r>
      <w:r>
        <w:rPr>
          <w:rFonts w:ascii="Liberation Sans" w:hAnsi="Liberation Sans" w:eastAsia="Liberation Sans"/>
          <w:sz w:val="21"/>
          <w:color w:val="2F80ED"/>
          <w:b/>
          <w:shd w:val="clear" w:fill="EAF1FB"/>
        </w:rPr>
        <w:t xml:space="preserve">[CLÁUSULA O COMUNICACIÓN; FECHAS; EXTREMO PENDIENTE DE ACUERDO]</w:t>
      </w:r>
      <w:r>
        <w:rPr>
          <w:rFonts w:ascii="Liberation Sans" w:hAnsi="Liberation Sans" w:eastAsia="Liberation Sans"/>
          <w:sz w:val="21"/>
          <w:color w:val="000000"/>
        </w:rPr>
        <w:t xml:space="preserve">. Este anexo no modifica por sí solo esos hitos.</w:t>
      </w:r>
    </w:p>
    <w:p>
      <w:pPr>
        <w:pStyle w:val="Normal"/>
        <w:widowControl/>
        <w:jc w:val="left"/>
        <w:spacing w:before="0" w:after="70" w:line="270" w:lineRule="auto"/>
      </w:pPr>
      <w:r>
        <w:rPr>
          <w:rFonts w:ascii="Liberation Sans" w:hAnsi="Liberation Sans" w:eastAsia="Liberation Sans"/>
          <w:sz w:val="21"/>
          <w:color w:val="000000"/>
        </w:rPr>
        <w:t xml:space="preserve">Cada activo conserva un identificador. El derecho contractual invocado, la titularidad que consta en un registro o servicio y el acceso técnico se documentan por separado. Los extremos señalados como pendientes no se tienen por pactados o ejecutados. Las actuaciones de implantación técnica comprendidas son </w:t>
      </w:r>
      <w:r>
        <w:rPr>
          <w:rFonts w:ascii="Liberation Sans" w:hAnsi="Liberation Sans" w:eastAsia="Liberation Sans"/>
          <w:sz w:val="21"/>
          <w:color w:val="2F80ED"/>
          <w:b/>
          <w:shd w:val="clear" w:fill="EAF1FB"/>
        </w:rPr>
        <w:t xml:space="preserve">[DESCRIPCIÓN O NINGUNA; RESPONSABLE; PRESUPUESTO SEPARADO]</w:t>
      </w:r>
      <w:r>
        <w:rPr>
          <w:rFonts w:ascii="Liberation Sans" w:hAnsi="Liberation Sans" w:eastAsia="Liberation Sans"/>
          <w:sz w:val="21"/>
          <w:color w:val="000000"/>
        </w:rPr>
        <w:t xml:space="preserve">.</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Inventario y autorizaciones</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5" w:type="dxa"/>
          <w:right w:w="105" w:type="dxa"/>
        </w:tblCellMar>
      </w:tblPr>
      <w:tblGrid>
        <w:gridCol w:w="3800"/>
        <w:gridCol w:w="5700"/>
      </w:tblGrid>
      <w:tr>
        <w:trPr>
          <w:cantSplit/>
          <w:tblHeader/>
        </w:trPr>
        <w:tc>
          <w:tcPr>
            <w:tcW w:w="3800"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Activo y fuente</w:t>
            </w:r>
          </w:p>
        </w:tc>
        <w:tc>
          <w:tcPr>
            <w:tcW w:w="5700"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Derecho titular y control</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[A1; DOMINIO CUENTA ARCHIVO O DATO; CONTRATO O FUENTE]</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[DERECHO INVOCADO; TITULAR QUE CONSTA; FUENTE Y FECHA; CONTACTO ADMINISTRATIVO; GESTOR O ROL]</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[A2; ACTIVO Y FUENTE; O NO APLICA]</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[DERECHO; TITULAR; FUENTE Y FECHA; CONTACTO; GESTOR O ROL]</w:t>
            </w:r>
          </w:p>
        </w:tc>
      </w:tr>
    </w:tbl>
    <w:p>
      <w:pPr>
        <w:pStyle w:val="Normal"/>
        <w:widowControl/>
        <w:jc w:val="left"/>
        <w:spacing w:before="0" w:after="70" w:line="270" w:lineRule="auto"/>
      </w:pPr>
      <w:r>
        <w:rPr>
          <w:rFonts w:ascii="Liberation Sans" w:hAnsi="Liberation Sans" w:eastAsia="Liberation Sans"/>
          <w:sz w:val="21"/>
          <w:color w:val="000000"/>
        </w:rPr>
        <w:t xml:space="preserve">Por cada identificador: actuación solicitada </w:t>
      </w:r>
      <w:r>
        <w:rPr>
          <w:rFonts w:ascii="Liberation Sans" w:hAnsi="Liberation Sans" w:eastAsia="Liberation Sans"/>
          <w:sz w:val="21"/>
          <w:color w:val="2F80ED"/>
          <w:b/>
          <w:shd w:val="clear" w:fill="EAF1FB"/>
        </w:rPr>
        <w:t xml:space="preserve">[CAMBIO DE TITULAR; CAMBIO DE REGISTRADOR; ROL AUTORIZADO; ENTREGA O LICENCIA DELIMITADA]</w:t>
      </w:r>
      <w:r>
        <w:rPr>
          <w:rFonts w:ascii="Liberation Sans" w:hAnsi="Liberation Sans" w:eastAsia="Liberation Sans"/>
          <w:sz w:val="21"/>
          <w:color w:val="000000"/>
        </w:rPr>
        <w:t xml:space="preserve">. Autoriza o confirma </w:t>
      </w:r>
      <w:r>
        <w:rPr>
          <w:rFonts w:ascii="Liberation Sans" w:hAnsi="Liberation Sans" w:eastAsia="Liberation Sans"/>
          <w:sz w:val="21"/>
          <w:color w:val="2F80ED"/>
          <w:b/>
          <w:shd w:val="clear" w:fill="EAF1FB"/>
        </w:rPr>
        <w:t xml:space="preserve">[PERSONA Y FACULTAD; DOCUMENTO]</w:t>
      </w:r>
      <w:r>
        <w:rPr>
          <w:rFonts w:ascii="Liberation Sans" w:hAnsi="Liberation Sans" w:eastAsia="Liberation Sans"/>
          <w:sz w:val="21"/>
          <w:color w:val="000000"/>
        </w:rPr>
        <w:t xml:space="preserve">. Destino autorizado </w:t>
      </w:r>
      <w:r>
        <w:rPr>
          <w:rFonts w:ascii="Liberation Sans" w:hAnsi="Liberation Sans" w:eastAsia="Liberation Sans"/>
          <w:sz w:val="21"/>
          <w:color w:val="2F80ED"/>
          <w:b/>
          <w:shd w:val="clear" w:fill="EAF1FB"/>
        </w:rPr>
        <w:t xml:space="preserve">[ENTIDAD CUENTA O SERVICIO]</w:t>
      </w:r>
      <w:r>
        <w:rPr>
          <w:rFonts w:ascii="Liberation Sans" w:hAnsi="Liberation Sans" w:eastAsia="Liberation Sans"/>
          <w:sz w:val="21"/>
          <w:color w:val="000000"/>
        </w:rPr>
        <w:t xml:space="preserve">. Resultado pendiente </w:t>
      </w:r>
      <w:r>
        <w:rPr>
          <w:rFonts w:ascii="Liberation Sans" w:hAnsi="Liberation Sans" w:eastAsia="Liberation Sans"/>
          <w:sz w:val="21"/>
          <w:color w:val="2F80ED"/>
          <w:b/>
          <w:shd w:val="clear" w:fill="EAF1FB"/>
        </w:rPr>
        <w:t xml:space="preserve">[EXTREMO O NINGUNO]</w:t>
      </w:r>
      <w:r>
        <w:rPr>
          <w:rFonts w:ascii="Liberation Sans" w:hAnsi="Liberation Sans" w:eastAsia="Liberation Sans"/>
          <w:sz w:val="21"/>
          <w:color w:val="000000"/>
        </w:rPr>
        <w:t xml:space="preserve">. Se añaden hojas numeradas si hay más activos.</w:t>
      </w:r>
    </w:p>
    <w:p>
      <w:pPr>
        <w:pStyle w:val="Normal"/>
        <w:widowControl/>
        <w:jc w:val="left"/>
        <w:spacing w:before="0" w:after="70" w:line="270" w:lineRule="auto"/>
      </w:pPr>
      <w:r>
        <w:rPr>
          <w:rFonts w:ascii="Liberation Sans" w:hAnsi="Liberation Sans" w:eastAsia="Liberation Sans"/>
          <w:sz w:val="21"/>
          <w:color w:val="000000"/>
        </w:rPr>
        <w:t xml:space="preserve">No se incorporan contraseñas, tokens ni códigos de recuperación al anexo. Se utiliza </w:t>
      </w:r>
      <w:r>
        <w:rPr>
          <w:rFonts w:ascii="Liberation Sans" w:hAnsi="Liberation Sans" w:eastAsia="Liberation Sans"/>
          <w:sz w:val="21"/>
          <w:color w:val="2F80ED"/>
          <w:b/>
          <w:shd w:val="clear" w:fill="EAF1FB"/>
        </w:rPr>
        <w:t xml:space="preserve">[PROCEDIMIENTO SEGURO DE LA PLATAFORMA; RESPONSABLE]</w:t>
      </w:r>
      <w:r>
        <w:rPr>
          <w:rFonts w:ascii="Liberation Sans" w:hAnsi="Liberation Sans" w:eastAsia="Liberation Sans"/>
          <w:sz w:val="21"/>
          <w:color w:val="000000"/>
        </w:rPr>
        <w:t xml:space="preserve"> para el acceso autorizado. El cambio de registrador no acredita por sí solo el cambio de titular. Entregar una copia tampoco implica ceder derechos de explotación no comprendidos en el contrato.</w:t>
      </w:r>
    </w:p>
    <w:p>
      <w:pPr>
        <w:pStyle w:val="Heading2"/>
        <w:widowControl/>
        <w:keepNext/>
        <w:keepLines/>
        <w:pageBreakBefore/>
        <w:jc w:val="left"/>
        <w:spacing w:before="120" w:after="100" w:line="270" w:lineRule="auto"/>
      </w:pPr>
      <w:r>
        <w:rPr>
          <w:rFonts w:ascii="Liberation Sans" w:hAnsi="Liberation Sans" w:eastAsia="Liberation Sans"/>
          <w:sz w:val="25"/>
          <w:color w:val="000000"/>
          <w:b/>
        </w:rPr>
        <w:t xml:space="preserve">Entregas y comprobaciones</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5" w:type="dxa"/>
          <w:right w:w="105" w:type="dxa"/>
        </w:tblCellMar>
      </w:tblPr>
      <w:tblGrid>
        <w:gridCol w:w="3800"/>
        <w:gridCol w:w="5700"/>
      </w:tblGrid>
      <w:tr>
        <w:trPr>
          <w:cantSplit/>
          <w:tblHeader/>
        </w:trPr>
        <w:tc>
          <w:tcPr>
            <w:tcW w:w="3800"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Entrega por activo</w:t>
            </w:r>
          </w:p>
        </w:tc>
        <w:tc>
          <w:tcPr>
            <w:tcW w:w="5700" w:type="dxa"/>
            <w:vAlign w:val="center"/>
            <w:shd w:fill="1A354D"/>
          </w:tcPr>
          <w:p>
            <w:pPr>
              <w:pStyle w:val="Normal"/>
              <w:widowControl/>
              <w:jc w:val="left"/>
              <w:spacing w:before="0" w:after="70" w:line="270" w:lineRule="auto"/>
            </w:pPr>
            <w:r>
              <w:rPr>
                <w:rFonts w:ascii="Liberation Sans" w:hAnsi="Liberation Sans" w:eastAsia="Liberation Sans"/>
                <w:sz w:val="21"/>
                <w:color w:val="FFFFFF"/>
                <w:b/>
              </w:rPr>
              <w:t xml:space="preserve">Formato prueba y resultado</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[A1; ENTREGA QUIÉN; RECIBE QUIÉN; FECHA PACTADA O PENDIENTE]</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[FORMATO PEDIDO Y ENTREGADO; CRITERIO DE PRUEBA; RESPONSABLE; RESULTADO Y REFERENCIA]</w:t>
            </w:r>
          </w:p>
        </w:tc>
      </w:tr>
      <w:tr>
        <w:trPr>
          <w:cantSplit/>
        </w:trPr>
        <w:tc>
          <w:tcPr>
            <w:tcW w:w="38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[A2; RESPONSABLES Y FECHA; O NO APLICA]</w:t>
            </w:r>
          </w:p>
        </w:tc>
        <w:tc>
          <w:tcPr>
            <w:tcW w:w="5700" w:type="dxa"/>
            <w:vAlign w:val="center"/>
            <w:shd w:fill="FFFFFF"/>
          </w:tcPr>
          <w:p>
            <w:pPr>
              <w:pStyle w:val="Normal"/>
              <w:widowControl/>
              <w:jc w:val="left"/>
              <w:spacing w:before="0" w:after="70" w:line="270" w:lineRule="auto"/>
            </w:pPr>
            <w:r>
              <w:rPr>
                <w:rFonts w:ascii="Liberation Sans" w:hAnsi="Liberation Sans" w:eastAsia="Liberation Sans"/>
                <w:sz w:val="21"/>
                <w:color w:val="2F80ED"/>
                <w:b/>
                <w:shd w:val="clear" w:fill="EAF1FB"/>
              </w:rPr>
              <w:t xml:space="preserve">[FORMATO; PRUEBA; RESULTADO; INCIDENCIA O PENDIENTE]</w:t>
            </w:r>
          </w:p>
        </w:tc>
      </w:tr>
    </w:tbl>
    <w:p>
      <w:pPr>
        <w:pStyle w:val="Normal"/>
        <w:widowControl/>
        <w:jc w:val="left"/>
        <w:spacing w:before="0" w:after="70" w:line="270" w:lineRule="auto"/>
      </w:pPr>
      <w:r>
        <w:rPr>
          <w:rFonts w:ascii="Liberation Sans" w:hAnsi="Liberation Sans" w:eastAsia="Liberation Sans"/>
          <w:sz w:val="21"/>
          <w:color w:val="000000"/>
        </w:rPr>
        <w:t xml:space="preserve">La recepción se documenta por activo y alcance. Un resultado parcial identifica </w:t>
      </w:r>
      <w:r>
        <w:rPr>
          <w:rFonts w:ascii="Liberation Sans" w:hAnsi="Liberation Sans" w:eastAsia="Liberation Sans"/>
          <w:sz w:val="21"/>
          <w:color w:val="2F80ED"/>
          <w:b/>
          <w:shd w:val="clear" w:fill="EAF1FB"/>
        </w:rPr>
        <w:t xml:space="preserve">[PARTE RECIBIDA; PARTE AUSENTE O NO UTILIZABLE; INCIDENCIA; RESPONSABLE Y PRÓXIMO HITO]</w:t>
      </w:r>
      <w:r>
        <w:rPr>
          <w:rFonts w:ascii="Liberation Sans" w:hAnsi="Liberation Sans" w:eastAsia="Liberation Sans"/>
          <w:sz w:val="21"/>
          <w:color w:val="000000"/>
        </w:rPr>
        <w:t xml:space="preserve">. El envío de un archivo no acredita por sí solo importación correcta ni aceptación completa. La aceptación se deja en </w:t>
      </w:r>
      <w:r>
        <w:rPr>
          <w:rFonts w:ascii="Liberation Sans" w:hAnsi="Liberation Sans" w:eastAsia="Liberation Sans"/>
          <w:sz w:val="21"/>
          <w:color w:val="2F80ED"/>
          <w:b/>
          <w:shd w:val="clear" w:fill="EAF1FB"/>
        </w:rPr>
        <w:t xml:space="preserve">[ACTA O COMUNICACIÓN; PERSONAS FACULTADAS; FECHA]</w:t>
      </w:r>
      <w:r>
        <w:rPr>
          <w:rFonts w:ascii="Liberation Sans" w:hAnsi="Liberation Sans" w:eastAsia="Liberation Sans"/>
          <w:sz w:val="21"/>
          <w:color w:val="000000"/>
        </w:rPr>
        <w:t xml:space="preserve">.</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Continuidad y colaboración</w:t>
      </w:r>
    </w:p>
    <w:p>
      <w:pPr>
        <w:pStyle w:val="Normal"/>
        <w:widowControl/>
        <w:jc w:val="left"/>
        <w:spacing w:before="0" w:after="70" w:line="270" w:lineRule="auto"/>
      </w:pPr>
      <w:r>
        <w:rPr>
          <w:rFonts w:ascii="Liberation Sans" w:hAnsi="Liberation Sans" w:eastAsia="Liberation Sans"/>
          <w:sz w:val="21"/>
          <w:color w:val="000000"/>
        </w:rPr>
        <w:t xml:space="preserve">Hasta </w:t>
      </w:r>
      <w:r>
        <w:rPr>
          <w:rFonts w:ascii="Liberation Sans" w:hAnsi="Liberation Sans" w:eastAsia="Liberation Sans"/>
          <w:sz w:val="21"/>
          <w:color w:val="2F80ED"/>
          <w:b/>
          <w:shd w:val="clear" w:fill="EAF1FB"/>
        </w:rPr>
        <w:t xml:space="preserve">[HITO PACTADO Y FECHA O EXTREMO PENDIENTE]</w:t>
      </w:r>
      <w:r>
        <w:rPr>
          <w:rFonts w:ascii="Liberation Sans" w:hAnsi="Liberation Sans" w:eastAsia="Liberation Sans"/>
          <w:sz w:val="21"/>
          <w:color w:val="000000"/>
        </w:rPr>
        <w:t xml:space="preserve">, las funciones que continúan son </w:t>
      </w:r>
      <w:r>
        <w:rPr>
          <w:rFonts w:ascii="Liberation Sans" w:hAnsi="Liberation Sans" w:eastAsia="Liberation Sans"/>
          <w:sz w:val="21"/>
          <w:color w:val="2F80ED"/>
          <w:b/>
          <w:shd w:val="clear" w:fill="EAF1FB"/>
        </w:rPr>
        <w:t xml:space="preserve">[SERVICIO; RENOVACIÓN; CORREO; COPIAS U OTRAS]</w:t>
      </w:r>
      <w:r>
        <w:rPr>
          <w:rFonts w:ascii="Liberation Sans" w:hAnsi="Liberation Sans" w:eastAsia="Liberation Sans"/>
          <w:sz w:val="21"/>
          <w:color w:val="000000"/>
        </w:rPr>
        <w:t xml:space="preserve"> y las atiende </w:t>
      </w:r>
      <w:r>
        <w:rPr>
          <w:rFonts w:ascii="Liberation Sans" w:hAnsi="Liberation Sans" w:eastAsia="Liberation Sans"/>
          <w:sz w:val="21"/>
          <w:color w:val="2F80ED"/>
          <w:b/>
          <w:shd w:val="clear" w:fill="EAF1FB"/>
        </w:rPr>
        <w:t xml:space="preserve">[RESPONSABLE]</w:t>
      </w:r>
      <w:r>
        <w:rPr>
          <w:rFonts w:ascii="Liberation Sans" w:hAnsi="Liberation Sans" w:eastAsia="Liberation Sans"/>
          <w:sz w:val="21"/>
          <w:color w:val="000000"/>
        </w:rPr>
        <w:t xml:space="preserve">. Los riesgos y dependencias conocidos constan en </w:t>
      </w:r>
      <w:r>
        <w:rPr>
          <w:rFonts w:ascii="Liberation Sans" w:hAnsi="Liberation Sans" w:eastAsia="Liberation Sans"/>
          <w:sz w:val="21"/>
          <w:color w:val="2F80ED"/>
          <w:b/>
          <w:shd w:val="clear" w:fill="EAF1FB"/>
        </w:rPr>
        <w:t xml:space="preserve">[REFERENCIA]</w:t>
      </w:r>
      <w:r>
        <w:rPr>
          <w:rFonts w:ascii="Liberation Sans" w:hAnsi="Liberation Sans" w:eastAsia="Liberation Sans"/>
          <w:sz w:val="21"/>
          <w:color w:val="000000"/>
        </w:rPr>
        <w:t xml:space="preserve">. Las partes colaborarán en las actuaciones delimitadas, con acceso autorizado y medidas de seguridad adecuadas; no se garantiza la compatibilidad entre sistemas por firmar este documento.</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Costes y conservación</w:t>
      </w:r>
    </w:p>
    <w:p>
      <w:pPr>
        <w:pStyle w:val="Normal"/>
        <w:widowControl/>
        <w:jc w:val="left"/>
        <w:spacing w:before="0" w:after="70" w:line="270" w:lineRule="auto"/>
      </w:pPr>
      <w:r>
        <w:rPr>
          <w:rFonts w:ascii="Liberation Sans" w:hAnsi="Liberation Sans" w:eastAsia="Liberation Sans"/>
          <w:sz w:val="21"/>
          <w:color w:val="000000"/>
        </w:rPr>
        <w:t xml:space="preserve">Se individualizan los conceptos acordados: </w:t>
      </w:r>
      <w:r>
        <w:rPr>
          <w:rFonts w:ascii="Liberation Sans" w:hAnsi="Liberation Sans" w:eastAsia="Liberation Sans"/>
          <w:sz w:val="21"/>
          <w:color w:val="2F80ED"/>
          <w:b/>
          <w:shd w:val="clear" w:fill="EAF1FB"/>
        </w:rPr>
        <w:t xml:space="preserve">[CONCEPTO; IMPORTE Y MONEDA O DESCONOCIDO; FUENTE; PAGADOR; INCLUIDO O PRESUPUESTO SEPARADO]</w:t>
      </w:r>
      <w:r>
        <w:rPr>
          <w:rFonts w:ascii="Liberation Sans" w:hAnsi="Liberation Sans" w:eastAsia="Liberation Sans"/>
          <w:sz w:val="21"/>
          <w:color w:val="000000"/>
        </w:rPr>
        <w:t xml:space="preserve">. Se distinguen servicio ordinario, asistencia adicional, renovación y eventual coste de cambio. Anotar un importe no valida su exigibilidad. Los conceptos discutidos quedan </w:t>
      </w:r>
      <w:r>
        <w:rPr>
          <w:rFonts w:ascii="Liberation Sans" w:hAnsi="Liberation Sans" w:eastAsia="Liberation Sans"/>
          <w:sz w:val="21"/>
          <w:color w:val="2F80ED"/>
          <w:b/>
          <w:shd w:val="clear" w:fill="EAF1FB"/>
        </w:rPr>
        <w:t xml:space="preserve">[IDENTIFICACIÓN Y ESTADO]</w:t>
      </w:r>
      <w:r>
        <w:rPr>
          <w:rFonts w:ascii="Liberation Sans" w:hAnsi="Liberation Sans" w:eastAsia="Liberation Sans"/>
          <w:sz w:val="21"/>
          <w:color w:val="000000"/>
        </w:rPr>
        <w:t xml:space="preserve">.</w:t>
      </w:r>
    </w:p>
    <w:p>
      <w:pPr>
        <w:pStyle w:val="Normal"/>
        <w:widowControl/>
        <w:jc w:val="left"/>
        <w:spacing w:before="0" w:after="70" w:line="270" w:lineRule="auto"/>
      </w:pPr>
      <w:r>
        <w:rPr>
          <w:rFonts w:ascii="Liberation Sans" w:hAnsi="Liberation Sans" w:eastAsia="Liberation Sans"/>
          <w:sz w:val="21"/>
          <w:color w:val="000000"/>
        </w:rPr>
        <w:t xml:space="preserve">Tras la entrega y comprobación documentadas, se procederá a </w:t>
      </w:r>
      <w:r>
        <w:rPr>
          <w:rFonts w:ascii="Liberation Sans" w:hAnsi="Liberation Sans" w:eastAsia="Liberation Sans"/>
          <w:sz w:val="21"/>
          <w:color w:val="2F80ED"/>
          <w:b/>
          <w:shd w:val="clear" w:fill="EAF1FB"/>
        </w:rPr>
        <w:t xml:space="preserve">[DEVOLUCIÓN; SUPRESIÓN; O CONSERVACIÓN DELIMITADA]</w:t>
      </w:r>
      <w:r>
        <w:rPr>
          <w:rFonts w:ascii="Liberation Sans" w:hAnsi="Liberation Sans" w:eastAsia="Liberation Sans"/>
          <w:sz w:val="21"/>
          <w:color w:val="000000"/>
        </w:rPr>
        <w:t xml:space="preserve">, por </w:t>
      </w:r>
      <w:r>
        <w:rPr>
          <w:rFonts w:ascii="Liberation Sans" w:hAnsi="Liberation Sans" w:eastAsia="Liberation Sans"/>
          <w:sz w:val="21"/>
          <w:color w:val="2F80ED"/>
          <w:b/>
          <w:shd w:val="clear" w:fill="EAF1FB"/>
        </w:rPr>
        <w:t xml:space="preserve">[RESPONSABLE]</w:t>
      </w:r>
      <w:r>
        <w:rPr>
          <w:rFonts w:ascii="Liberation Sans" w:hAnsi="Liberation Sans" w:eastAsia="Liberation Sans"/>
          <w:sz w:val="21"/>
          <w:color w:val="000000"/>
        </w:rPr>
        <w:t xml:space="preserve">, con </w:t>
      </w:r>
      <w:r>
        <w:rPr>
          <w:rFonts w:ascii="Liberation Sans" w:hAnsi="Liberation Sans" w:eastAsia="Liberation Sans"/>
          <w:sz w:val="21"/>
          <w:color w:val="2F80ED"/>
          <w:b/>
          <w:shd w:val="clear" w:fill="EAF1FB"/>
        </w:rPr>
        <w:t xml:space="preserve">[EVIDENCIA Y FECHA]</w:t>
      </w:r>
      <w:r>
        <w:rPr>
          <w:rFonts w:ascii="Liberation Sans" w:hAnsi="Liberation Sans" w:eastAsia="Liberation Sans"/>
          <w:sz w:val="21"/>
          <w:color w:val="000000"/>
        </w:rPr>
        <w:t xml:space="preserve">. Se separan las copias y datos sujetos a conservación legal, su finalidad, acceso y duración. Si el proveedor actúa como encargado del tratamiento, se respetan las instrucciones documentadas y la elección de devolución o supresión del responsable al finalizar, así como la supresión de copias salvo conservación legal; esta cláusula no autoriza una retención indefinida por falta de aceptación.</w:t>
      </w:r>
    </w:p>
    <w:p>
      <w:pPr>
        <w:pStyle w:val="Normal"/>
        <w:widowControl/>
        <w:jc w:val="both"/>
        <w:spacing w:before="0" w:after="70" w:line="270" w:lineRule="auto"/>
      </w:pPr>
      <w:r>
        <w:rPr>
          <w:rFonts w:ascii="Liberation Sans" w:hAnsi="Liberation Sans" w:eastAsia="Liberation Sans"/>
          <w:sz w:val="21"/>
          <w:color w:val="000000"/>
        </w:rPr>
        <w:t xml:space="preserve">Este anexo se interpreta sin renuncia a derechos imperativos. Si resulta aplicable el régimen de cambio de servicios de tratamiento de datos u otra norma, sus condiciones prevalecen sobre un pacto incompatible. Las discrepancias y actuaciones pendientes se documentan sin dar por ejecutado lo no comprobado.</w:t>
      </w:r>
    </w:p>
    <w:p>
      <w:pPr>
        <w:pStyle w:val="Normal"/>
        <w:widowControl/>
        <w:jc w:val="left"/>
        <w:spacing w:before="0" w:after="70" w:line="270" w:lineRule="auto"/>
      </w:pPr>
      <w:r>
        <w:rPr>
          <w:rFonts w:ascii="Liberation Sans" w:hAnsi="Liberation Sans" w:eastAsia="Liberation Sans"/>
          <w:sz w:val="21"/>
          <w:color w:val="000000"/>
        </w:rPr>
        <w:t xml:space="preserve">Conformidad: </w:t>
      </w:r>
      <w:r>
        <w:rPr>
          <w:rFonts w:ascii="Liberation Sans" w:hAnsi="Liberation Sans" w:eastAsia="Liberation Sans"/>
          <w:sz w:val="21"/>
          <w:color w:val="2F80ED"/>
          <w:b/>
          <w:shd w:val="clear" w:fill="EAF1FB"/>
        </w:rPr>
        <w:t xml:space="preserve">[CLIENTE NOMBRE Y FIRMA]</w:t>
      </w:r>
      <w:r>
        <w:rPr>
          <w:rFonts w:ascii="Liberation Sans" w:hAnsi="Liberation Sans" w:eastAsia="Liberation Sans"/>
          <w:sz w:val="21"/>
          <w:color w:val="000000"/>
        </w:rPr>
        <w:t xml:space="preserve"> · </w:t>
      </w:r>
      <w:r>
        <w:rPr>
          <w:rFonts w:ascii="Liberation Sans" w:hAnsi="Liberation Sans" w:eastAsia="Liberation Sans"/>
          <w:sz w:val="21"/>
          <w:color w:val="2F80ED"/>
          <w:b/>
          <w:shd w:val="clear" w:fill="EAF1FB"/>
        </w:rPr>
        <w:t xml:space="preserve">[PROVEEDOR NOMBRE Y FIRMA]</w:t>
      </w:r>
      <w:r>
        <w:rPr>
          <w:rFonts w:ascii="Liberation Sans" w:hAnsi="Liberation Sans" w:eastAsia="Liberation Sans"/>
          <w:sz w:val="21"/>
          <w:color w:val="000000"/>
        </w:rPr>
        <w:t xml:space="preserve">. Hojas incorporadas </w:t>
      </w:r>
      <w:r>
        <w:rPr>
          <w:rFonts w:ascii="Liberation Sans" w:hAnsi="Liberation Sans" w:eastAsia="Liberation Sans"/>
          <w:sz w:val="21"/>
          <w:color w:val="2F80ED"/>
          <w:b/>
          <w:shd w:val="clear" w:fill="EAF1FB"/>
        </w:rPr>
        <w:t xml:space="preserve">[NÚMERO Y REFERENCIAS]</w:t>
      </w:r>
      <w:r>
        <w:rPr>
          <w:rFonts w:ascii="Liberation Sans" w:hAnsi="Liberation Sans" w:eastAsia="Liberation Sans"/>
          <w:sz w:val="21"/>
          <w:color w:val="000000"/>
        </w:rPr>
        <w:t xml:space="preserve">.</w:t>
      </w:r>
    </w:p>
    <w:p>
      <w:pPr>
        <w:pStyle w:val="Title"/>
        <w:widowControl/>
        <w:keepNext/>
        <w:keepLines/>
        <w:pageBreakBefore/>
        <w:jc w:val="left"/>
        <w:spacing w:before="0" w:after="100" w:line="270" w:lineRule="auto"/>
      </w:pPr>
      <w:r>
        <w:rPr>
          <w:rFonts w:ascii="Liberation Sans" w:hAnsi="Liberation Sans" w:eastAsia="Liberation Sans"/>
          <w:sz w:val="42"/>
          <w:color w:val="000000"/>
          <w:b/>
        </w:rPr>
        <w:t xml:space="preserve">Guía para preparar y negociar el anexo</w:t>
      </w:r>
    </w:p>
    <w:p>
      <w:pPr>
        <w:pStyle w:val="Normal"/>
        <w:widowControl/>
        <w:jc w:val="both"/>
        <w:spacing w:before="0" w:after="70" w:line="270" w:lineRule="auto"/>
      </w:pPr>
      <w:r>
        <w:rPr>
          <w:rFonts w:ascii="Liberation Sans" w:hAnsi="Liberation Sans" w:eastAsia="Liberation Sans"/>
          <w:sz w:val="21"/>
          <w:color w:val="000000"/>
        </w:rPr>
        <w:t xml:space="preserve">Este modelo documenta una salida concreta. Completa el inventario con contrato, facturas, comunicaciones y datos de registro o administración obtenidos con acceso autorizado. El preparador local de salida digital ayuda a ordenar los mismos identificadores y pendientes. Su exportación no acredita por sí sola ni titularidad ni una entrega.</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Qué acordar antes de firmar</w:t>
      </w:r>
    </w:p>
    <w:p>
      <w:pPr>
        <w:pStyle w:val="Normal"/>
        <w:widowControl/>
        <w:jc w:val="both"/>
        <w:spacing w:before="0" w:after="70" w:line="270" w:lineRule="auto"/>
      </w:pPr>
      <w:r>
        <w:rPr>
          <w:rFonts w:ascii="Liberation Sans" w:hAnsi="Liberation Sans" w:eastAsia="Liberation Sans"/>
          <w:sz w:val="21"/>
          <w:color w:val="000000"/>
        </w:rPr>
        <w:t xml:space="preserve">Define qué servicio termina y qué continúa, quién puede comprometer a cada parte y quién ejecuta la intervención técnica. Copia fechas que consten y distingue las propuestas de las aceptadas. Si falta un hito, mantenlo pendiente de acuerdo; no conviertas una fecha orientativa en plazo legal. Identifica formatos, adjuntos, metadatos y exportaciones que hacen falta, además de la forma de comprobarlos.</w:t>
      </w:r>
    </w:p>
    <w:p>
      <w:pPr>
        <w:pStyle w:val="Normal"/>
        <w:widowControl/>
        <w:jc w:val="both"/>
        <w:spacing w:before="0" w:after="70" w:line="270" w:lineRule="auto"/>
      </w:pPr>
      <w:r>
        <w:rPr>
          <w:rFonts w:ascii="Liberation Sans" w:hAnsi="Liberation Sans" w:eastAsia="Liberation Sans"/>
          <w:sz w:val="21"/>
          <w:color w:val="000000"/>
        </w:rPr>
        <w:t xml:space="preserve">Separa dominio, alojamiento, correo, cuentas, repositorio, datos y licencias. En un dominio .es, transmisión de titular y cambio de agente registrador son procedimientos distintos. En otras extensiones se comprueba su política. Un contacto administrativo no es automáticamente titular del derecho contractual; un rol de administrador no acredita todos los derechos sobre contenido o código.</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Caso ficticio de entrega parcial</w:t>
      </w:r>
    </w:p>
    <w:p>
      <w:pPr>
        <w:pStyle w:val="Normal"/>
        <w:widowControl/>
        <w:jc w:val="both"/>
        <w:spacing w:before="0" w:after="70" w:line="270" w:lineRule="auto"/>
      </w:pPr>
      <w:r>
        <w:rPr>
          <w:rFonts w:ascii="Liberation Sans" w:hAnsi="Liberation Sans" w:eastAsia="Liberation Sans"/>
          <w:sz w:val="21"/>
          <w:color w:val="000000"/>
        </w:rPr>
        <w:t xml:space="preserve">Taller Norte recibe la administración del alojamiento y una copia comprobada del sitio. El dominio sigue a nombre del proveedor y no se han entregado las cuentas de correo. A1 identifica el dominio y deja pendiente la transmisión y su confirmación; A2 identifica el alojamiento y la prueba recibida; A3 identifica el correo y lo que falta. Cambiar de registrador no completa A1. No se firma una aceptación global que omita esas diferencias.</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Caso ficticio de formato insuficiente</w:t>
      </w:r>
    </w:p>
    <w:p>
      <w:pPr>
        <w:pStyle w:val="Normal"/>
        <w:widowControl/>
        <w:jc w:val="both"/>
        <w:spacing w:before="0" w:after="70" w:line="270" w:lineRule="auto"/>
      </w:pPr>
      <w:r>
        <w:rPr>
          <w:rFonts w:ascii="Liberation Sans" w:hAnsi="Liberation Sans" w:eastAsia="Liberation Sans"/>
          <w:sz w:val="21"/>
          <w:color w:val="000000"/>
        </w:rPr>
        <w:t xml:space="preserve">Se recibe un CSV, pero faltan adjuntos y las relaciones entre registros no se importan correctamente. Se conserva la referencia del archivo y la prueba fallida, se marca entrega parcial y se solicita concretar formato, responsable y nuevo hito. La fecha permanece propuesta hasta quedar documentado el acuerdo. Un coste no indicado queda desconocido, aunque otra fila tenga coste cero expresamente confirmado.</w:t>
      </w:r>
    </w:p>
    <w:p>
      <w:pPr>
        <w:pStyle w:val="Title"/>
        <w:widowControl/>
        <w:keepNext/>
        <w:keepLines/>
        <w:pageBreakBefore/>
        <w:jc w:val="left"/>
        <w:spacing w:before="0" w:after="100" w:line="270" w:lineRule="auto"/>
      </w:pPr>
      <w:r>
        <w:rPr>
          <w:rFonts w:ascii="Liberation Sans" w:hAnsi="Liberation Sans" w:eastAsia="Liberation Sans"/>
          <w:sz w:val="42"/>
          <w:color w:val="000000"/>
          <w:b/>
        </w:rPr>
        <w:t xml:space="preserve">Derechos normas y fuentes</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Contrasta el servicio y el régimen aplicable</w:t>
      </w:r>
    </w:p>
    <w:p>
      <w:pPr>
        <w:pStyle w:val="Normal"/>
        <w:widowControl/>
        <w:jc w:val="both"/>
        <w:spacing w:before="0" w:after="70" w:line="270" w:lineRule="auto"/>
      </w:pPr>
      <w:r>
        <w:rPr>
          <w:rFonts w:ascii="Liberation Sans" w:hAnsi="Liberation Sans" w:eastAsia="Liberation Sans"/>
          <w:sz w:val="21"/>
          <w:color w:val="000000"/>
        </w:rPr>
        <w:t xml:space="preserve">El capítulo VI del Reglamento 2023/2854 regula el cambio de determinados servicios de tratamiento de datos, definidos en su artículo 2.8. No se aplica automáticamente a cualquier encargo de una web o gestión de redes. Sus artículos 23 y 25 contienen obligaciones y cláusulas de cambio; el artículo 31 establece un régimen específico para ciertos servicios a medida y para versiones de ensayo. No se excluye todo el capítulo por ser un desarrollo a medida.</w:t>
      </w:r>
    </w:p>
    <w:p>
      <w:pPr>
        <w:pStyle w:val="Normal"/>
        <w:widowControl/>
        <w:jc w:val="both"/>
        <w:spacing w:before="0" w:after="70" w:line="270" w:lineRule="auto"/>
      </w:pPr>
      <w:r>
        <w:rPr>
          <w:rFonts w:ascii="Liberation Sans" w:hAnsi="Liberation Sans" w:eastAsia="Liberation Sans"/>
          <w:sz w:val="21"/>
          <w:color w:val="000000"/>
        </w:rPr>
        <w:t xml:space="preserve">El régimen general es aplicable desde el 12 de septiembre de 2025. Dentro de su ámbito, el artículo 25 distingue preaviso, transición y extracción, con condiciones y posibles ampliaciones; no se copia una única fecha como plazo universal de migración. El artículo 29 prevé la supresión de costes por cambio desde el 12 de enero de 2027 y, antes, costes reducidos con su límite, sin confundirlos con cualquier factura ni omitir el régimen específico del artículo 31.</w:t>
      </w:r>
    </w:p>
    <w:p>
      <w:pPr>
        <w:pStyle w:val="Normal"/>
        <w:widowControl/>
        <w:jc w:val="both"/>
        <w:spacing w:before="0" w:after="70" w:line="270" w:lineRule="auto"/>
      </w:pPr>
      <w:r>
        <w:rPr>
          <w:rFonts w:ascii="Liberation Sans" w:hAnsi="Liberation Sans" w:eastAsia="Liberation Sans"/>
          <w:sz w:val="21"/>
          <w:color w:val="000000"/>
        </w:rPr>
        <w:t xml:space="preserve">Los derechos de acceso y portabilidad de datos personales tienen sujetos y condiciones propios. El artículo 20 RGPD no equivale a recuperar todo el contenido empresarial ni a transmitir derechos de terceros. Si existe un encargado, las instrucciones, devolución o supresión y seguridad se examinan con los artículos 28 y 32. Delimita datos personales, secretos y materiales de terceros antes de pactar entrega, licencia o borrado.</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Cómo cerrar las actuaciones</w:t>
      </w:r>
    </w:p>
    <w:p>
      <w:pPr>
        <w:pStyle w:val="Normal"/>
        <w:widowControl/>
        <w:jc w:val="both"/>
        <w:spacing w:before="0" w:after="70" w:line="270" w:lineRule="auto"/>
      </w:pPr>
      <w:r>
        <w:rPr>
          <w:rFonts w:ascii="Liberation Sans" w:hAnsi="Liberation Sans" w:eastAsia="Liberation Sans"/>
          <w:sz w:val="21"/>
          <w:color w:val="000000"/>
        </w:rPr>
        <w:t xml:space="preserve">Relaciona cada aceptación con un activo, resultado y prueba. Mantén los fallos de importación, los datos ausentes y la autorización pendiente en su estado real. Acuerda quién verifica continuidad y quién revoca los accesos cuando corresponda. La preparación jurídica de obligaciones y documentación no incorpora por defecto la implantación, auditoría informática o mantenimiento del nuevo sistema.</w:t>
      </w:r>
    </w:p>
    <w:p>
      <w:pPr>
        <w:pStyle w:val="Heading2"/>
        <w:widowControl/>
        <w:keepNext/>
        <w:keepLines/>
        <w:jc w:val="left"/>
        <w:spacing w:before="120" w:after="100" w:line="270" w:lineRule="auto"/>
      </w:pPr>
      <w:r>
        <w:rPr>
          <w:rFonts w:ascii="Liberation Sans" w:hAnsi="Liberation Sans" w:eastAsia="Liberation Sans"/>
          <w:sz w:val="25"/>
          <w:color w:val="000000"/>
          <w:b/>
        </w:rPr>
        <w:t xml:space="preserve">Fuentes para contrastar el caso</w:t>
      </w:r>
    </w:p>
    <w:p>
      <w:pPr>
        <w:pStyle w:val="Normal"/>
        <w:widowControl/>
        <w:jc w:val="left"/>
        <w:spacing w:before="0" w:after="70" w:line="270" w:lineRule="auto"/>
      </w:pPr>
      <w:hyperlink r:id="rId201">
        <w:r>
          <w:rPr>
            <w:rFonts w:ascii="Liberation Sans" w:hAnsi="Liberation Sans" w:eastAsia="Liberation Sans"/>
            <w:sz w:val="21"/>
            <w:color w:val="000000"/>
          </w:rPr>
          <w:t xml:space="preserve">Código Civil artículos 1255 1258 y 1259</w:t>
        </w:r>
      </w:hyperlink>
    </w:p>
    <w:p>
      <w:pPr>
        <w:pStyle w:val="Normal"/>
        <w:widowControl/>
        <w:jc w:val="left"/>
        <w:spacing w:before="0" w:after="70" w:line="270" w:lineRule="auto"/>
      </w:pPr>
      <w:hyperlink r:id="rId202">
        <w:r>
          <w:rPr>
            <w:rFonts w:ascii="Liberation Sans" w:hAnsi="Liberation Sans" w:eastAsia="Liberation Sans"/>
            <w:sz w:val="21"/>
            <w:color w:val="000000"/>
          </w:rPr>
          <w:t xml:space="preserve">Reglamento 2023/2854 artículos 2 23 25 29 31 y 50</w:t>
        </w:r>
      </w:hyperlink>
    </w:p>
    <w:p>
      <w:pPr>
        <w:pStyle w:val="Normal"/>
        <w:widowControl/>
        <w:jc w:val="left"/>
        <w:spacing w:before="0" w:after="70" w:line="270" w:lineRule="auto"/>
      </w:pPr>
      <w:hyperlink r:id="rId203">
        <w:r>
          <w:rPr>
            <w:rFonts w:ascii="Liberation Sans" w:hAnsi="Liberation Sans" w:eastAsia="Liberation Sans"/>
            <w:sz w:val="21"/>
            <w:color w:val="000000"/>
          </w:rPr>
          <w:t xml:space="preserve">RGPD artículos 15 20 28 y 32</w:t>
        </w:r>
      </w:hyperlink>
    </w:p>
    <w:p>
      <w:pPr>
        <w:pStyle w:val="Normal"/>
        <w:widowControl/>
        <w:jc w:val="left"/>
        <w:spacing w:before="0" w:after="70" w:line="270" w:lineRule="auto"/>
      </w:pPr>
      <w:hyperlink r:id="rId204">
        <w:r>
          <w:rPr>
            <w:rFonts w:ascii="Liberation Sans" w:hAnsi="Liberation Sans" w:eastAsia="Liberation Sans"/>
            <w:sz w:val="21"/>
            <w:color w:val="000000"/>
          </w:rPr>
          <w:t xml:space="preserve">Dominios.es transmisión de titular y cambio de agente</w:t>
        </w:r>
      </w:hyperlink>
    </w:p>
    <w:p>
      <w:pPr>
        <w:pStyle w:val="Normal"/>
        <w:widowControl/>
        <w:jc w:val="both"/>
        <w:spacing w:before="0" w:after="70" w:line="270" w:lineRule="auto"/>
      </w:pPr>
      <w:r>
        <w:rPr>
          <w:rFonts w:ascii="Liberation Sans" w:hAnsi="Liberation Sans" w:eastAsia="Liberation Sans"/>
          <w:sz w:val="21"/>
          <w:color w:val="000000"/>
        </w:rPr>
        <w:t xml:space="preserve">Edición documental de 1 de noviembre de 2026.</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Georgia" w:hAnsi="Georg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994-26003#a36" TargetMode="External"/><Relationship Id="rId12" Type="http://schemas.openxmlformats.org/officeDocument/2006/relationships/hyperlink" Target="https://www.boe.es/buscar/act.php?id=BOE-A-1889-4763#art1561" TargetMode="External"/><Relationship Id="rId13" Type="http://schemas.openxmlformats.org/officeDocument/2006/relationships/hyperlink" Target="https://www.boe.es/buscar/doc.php?id=BOE-A-2026-20823" TargetMode="External"/><Relationship Id="rId201" Type="http://schemas.openxmlformats.org/officeDocument/2006/relationships/hyperlink" Target="https://www.boe.es/buscar/act.php?id=BOE-A-1889-4763#art1255" TargetMode="External"/><Relationship Id="rId202" Type="http://schemas.openxmlformats.org/officeDocument/2006/relationships/hyperlink" Target="https://www.boe.es/buscar/doc.php?id=DOUE-L-2023-81895" TargetMode="External"/><Relationship Id="rId203" Type="http://schemas.openxmlformats.org/officeDocument/2006/relationships/hyperlink" Target="https://www.boe.es/buscar/doc.php?id=DOUE-L-2016-80807" TargetMode="External"/><Relationship Id="rId204" Type="http://schemas.openxmlformats.org/officeDocument/2006/relationships/hyperlink" Target="https://www.dominios.es/es/gestiona-tu-dominio/cambiar-el-titular-del-domin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de salida de un servicio digital</dc:title>
  <dc:subject>Entrega documental y control autorizado de activos digitales</dc:subject>
  <dc:creator/>
  <cp:keywords>salida de servicio digital,entrega,dominio,titularidad,accesos,formatos,pruebas</cp:keywords>
  <dc:description>Modelo editable para acordar activos, responsables, formatos, pruebas, continuidad, costes y conservación al terminar un servicio digital.</dc:description>
  <cp:lastModifiedBy/>
  <cp:revision>1</cp:revision>
  <dcterms:created xsi:type="dcterms:W3CDTF">2026-11-01T00:15:25Z</dcterms:created>
  <dcterms:modified xsi:type="dcterms:W3CDTF">2026-11-01T00:15:25Z</dcterms:modified>
  <cp:category/>
</cp:coreProperties>
</file>