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Anexo de entregables y derechos de un encargo creativo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Anexo al contrato [referencia y fecha] entre [partes identificadas]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Objeto del anexo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Las partes identifican el encargo </w:t>
      </w:r>
      <w:r>
        <w:rPr>
          <w:rFonts w:ascii="Arial" w:hAnsi="Arial"/>
          <w:sz w:val="21"/>
          <w:color w:val="397CDD"/>
          <w:b/>
        </w:rPr>
        <w:t xml:space="preserve">[proyecto concreto]</w:t>
      </w:r>
      <w:r>
        <w:rPr>
          <w:rFonts w:ascii="Arial" w:hAnsi="Arial"/>
          <w:sz w:val="21"/>
          <w:color w:val="000000"/>
        </w:rPr>
        <w:t xml:space="preserve"> y acuerdan completar su alcance con este anexo. La persona que otorga los derechos es </w:t>
      </w:r>
      <w:r>
        <w:rPr>
          <w:rFonts w:ascii="Arial" w:hAnsi="Arial"/>
          <w:sz w:val="21"/>
          <w:color w:val="397CDD"/>
          <w:b/>
        </w:rPr>
        <w:t xml:space="preserve">[titular o representante y fundamento de sus facultades]</w:t>
      </w:r>
      <w:r>
        <w:rPr>
          <w:rFonts w:ascii="Arial" w:hAnsi="Arial"/>
          <w:sz w:val="21"/>
          <w:color w:val="000000"/>
        </w:rPr>
        <w:t xml:space="preserve">. El destinatario del uso es </w:t>
      </w:r>
      <w:r>
        <w:rPr>
          <w:rFonts w:ascii="Arial" w:hAnsi="Arial"/>
          <w:sz w:val="21"/>
          <w:color w:val="397CDD"/>
          <w:b/>
        </w:rPr>
        <w:t xml:space="preserve">[persona o entidad]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Entregables y aceptación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Se entregarán </w:t>
      </w:r>
      <w:r>
        <w:rPr>
          <w:rFonts w:ascii="Arial" w:hAnsi="Arial"/>
          <w:sz w:val="21"/>
          <w:color w:val="397CDD"/>
          <w:b/>
        </w:rPr>
        <w:t xml:space="preserve">[piezas, versiones, formato y fecha]</w:t>
      </w:r>
      <w:r>
        <w:rPr>
          <w:rFonts w:ascii="Arial" w:hAnsi="Arial"/>
          <w:sz w:val="21"/>
          <w:color w:val="000000"/>
        </w:rPr>
        <w:t xml:space="preserve">, incluidos </w:t>
      </w:r>
      <w:r>
        <w:rPr>
          <w:rFonts w:ascii="Arial" w:hAnsi="Arial"/>
          <w:sz w:val="21"/>
          <w:color w:val="397CDD"/>
          <w:b/>
        </w:rPr>
        <w:t xml:space="preserve">[archivos editables expresamente comprendidos]</w:t>
      </w:r>
      <w:r>
        <w:rPr>
          <w:rFonts w:ascii="Arial" w:hAnsi="Arial"/>
          <w:sz w:val="21"/>
          <w:color w:val="000000"/>
        </w:rPr>
        <w:t xml:space="preserve">. Quedan fuera </w:t>
      </w:r>
      <w:r>
        <w:rPr>
          <w:rFonts w:ascii="Arial" w:hAnsi="Arial"/>
          <w:sz w:val="21"/>
          <w:color w:val="397CDD"/>
          <w:b/>
        </w:rPr>
        <w:t xml:space="preserve">[elementos excluidos]</w:t>
      </w:r>
      <w:r>
        <w:rPr>
          <w:rFonts w:ascii="Arial" w:hAnsi="Arial"/>
          <w:sz w:val="21"/>
          <w:color w:val="000000"/>
        </w:rPr>
        <w:t xml:space="preserve">. El criterio de aceptación es </w:t>
      </w:r>
      <w:r>
        <w:rPr>
          <w:rFonts w:ascii="Arial" w:hAnsi="Arial"/>
          <w:sz w:val="21"/>
          <w:color w:val="397CDD"/>
          <w:b/>
        </w:rPr>
        <w:t xml:space="preserve">[comprobación objetiva y canal]</w:t>
      </w:r>
      <w:r>
        <w:rPr>
          <w:rFonts w:ascii="Arial" w:hAnsi="Arial"/>
          <w:sz w:val="21"/>
          <w:color w:val="000000"/>
        </w:rPr>
        <w:t xml:space="preserve">; las revisiones incluidas son </w:t>
      </w:r>
      <w:r>
        <w:rPr>
          <w:rFonts w:ascii="Arial" w:hAnsi="Arial"/>
          <w:sz w:val="21"/>
          <w:color w:val="397CDD"/>
          <w:b/>
        </w:rPr>
        <w:t xml:space="preserve">[número o alcance pactado]</w:t>
      </w:r>
      <w:r>
        <w:rPr>
          <w:rFonts w:ascii="Arial" w:hAnsi="Arial"/>
          <w:sz w:val="21"/>
          <w:color w:val="000000"/>
        </w:rPr>
        <w:t xml:space="preserve"> y los cambios adicionales se documentarán antes de ejecutarse.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Aportaciones y materiales ajenos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Los materiales propios de cada parte son </w:t>
      </w:r>
      <w:r>
        <w:rPr>
          <w:rFonts w:ascii="Arial" w:hAnsi="Arial"/>
          <w:sz w:val="21"/>
          <w:color w:val="397CDD"/>
          <w:b/>
        </w:rPr>
        <w:t xml:space="preserve">[relación y origen]</w:t>
      </w:r>
      <w:r>
        <w:rPr>
          <w:rFonts w:ascii="Arial" w:hAnsi="Arial"/>
          <w:sz w:val="21"/>
          <w:color w:val="000000"/>
        </w:rPr>
        <w:t xml:space="preserve">. Los elementos de terceros se identifican en </w:t>
      </w:r>
      <w:r>
        <w:rPr>
          <w:rFonts w:ascii="Arial" w:hAnsi="Arial"/>
          <w:sz w:val="21"/>
          <w:color w:val="397CDD"/>
          <w:b/>
        </w:rPr>
        <w:t xml:space="preserve">[anexo o lista]</w:t>
      </w:r>
      <w:r>
        <w:rPr>
          <w:rFonts w:ascii="Arial" w:hAnsi="Arial"/>
          <w:sz w:val="21"/>
          <w:color w:val="000000"/>
        </w:rPr>
        <w:t xml:space="preserve">, con titular, licencia, límites y responsable de obtener autorización. Los elementos generados o asistidos por IA se describen en </w:t>
      </w:r>
      <w:r>
        <w:rPr>
          <w:rFonts w:ascii="Arial" w:hAnsi="Arial"/>
          <w:sz w:val="21"/>
          <w:color w:val="397CDD"/>
          <w:b/>
        </w:rPr>
        <w:t xml:space="preserve">[relación, intervención humana y restricciones conocidas]</w:t>
      </w:r>
      <w:r>
        <w:rPr>
          <w:rFonts w:ascii="Arial" w:hAnsi="Arial"/>
          <w:sz w:val="21"/>
          <w:color w:val="000000"/>
        </w:rPr>
        <w:t xml:space="preserve">. No se atribuye exclusividad sobre materiales cuyo derecho no pueda acreditarse.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Derechos y modalidades de uso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Se conceden únicamente </w:t>
      </w:r>
      <w:r>
        <w:rPr>
          <w:rFonts w:ascii="Arial" w:hAnsi="Arial"/>
          <w:sz w:val="21"/>
          <w:color w:val="397CDD"/>
          <w:b/>
        </w:rPr>
        <w:t xml:space="preserve">[derechos y modalidades de explotación concretos]</w:t>
      </w:r>
      <w:r>
        <w:rPr>
          <w:rFonts w:ascii="Arial" w:hAnsi="Arial"/>
          <w:sz w:val="21"/>
          <w:color w:val="000000"/>
        </w:rPr>
        <w:t xml:space="preserve"> para </w:t>
      </w:r>
      <w:r>
        <w:rPr>
          <w:rFonts w:ascii="Arial" w:hAnsi="Arial"/>
          <w:sz w:val="21"/>
          <w:color w:val="397CDD"/>
          <w:b/>
        </w:rPr>
        <w:t xml:space="preserve">[finalidad, medios y canales]</w:t>
      </w:r>
      <w:r>
        <w:rPr>
          <w:rFonts w:ascii="Arial" w:hAnsi="Arial"/>
          <w:sz w:val="21"/>
          <w:color w:val="000000"/>
        </w:rPr>
        <w:t xml:space="preserve">, en </w:t>
      </w:r>
      <w:r>
        <w:rPr>
          <w:rFonts w:ascii="Arial" w:hAnsi="Arial"/>
          <w:sz w:val="21"/>
          <w:color w:val="397CDD"/>
          <w:b/>
        </w:rPr>
        <w:t xml:space="preserve">[territorio]</w:t>
      </w:r>
      <w:r>
        <w:rPr>
          <w:rFonts w:ascii="Arial" w:hAnsi="Arial"/>
          <w:sz w:val="21"/>
          <w:color w:val="000000"/>
        </w:rPr>
        <w:t xml:space="preserve"> y durante </w:t>
      </w:r>
      <w:r>
        <w:rPr>
          <w:rFonts w:ascii="Arial" w:hAnsi="Arial"/>
          <w:sz w:val="21"/>
          <w:color w:val="397CDD"/>
          <w:b/>
        </w:rPr>
        <w:t xml:space="preserve">[plazo con inicio definido]</w:t>
      </w:r>
      <w:r>
        <w:rPr>
          <w:rFonts w:ascii="Arial" w:hAnsi="Arial"/>
          <w:sz w:val="21"/>
          <w:color w:val="000000"/>
        </w:rPr>
        <w:t xml:space="preserve">. El carácter exclusivo o no exclusivo pactado es </w:t>
      </w:r>
      <w:r>
        <w:rPr>
          <w:rFonts w:ascii="Arial" w:hAnsi="Arial"/>
          <w:sz w:val="21"/>
          <w:color w:val="397CDD"/>
          <w:b/>
        </w:rPr>
        <w:t xml:space="preserve">[indicar uno y su alcance]</w:t>
      </w:r>
      <w:r>
        <w:rPr>
          <w:rFonts w:ascii="Arial" w:hAnsi="Arial"/>
          <w:sz w:val="21"/>
          <w:color w:val="000000"/>
        </w:rPr>
        <w:t xml:space="preserve">. Las adaptaciones, cesión a terceros y sublicencia permitidas se limitan a </w:t>
      </w:r>
      <w:r>
        <w:rPr>
          <w:rFonts w:ascii="Arial" w:hAnsi="Arial"/>
          <w:sz w:val="21"/>
          <w:color w:val="397CDD"/>
          <w:b/>
        </w:rPr>
        <w:t xml:space="preserve">[actos concretos o indicar que no se autorizan]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Remuneración y condiciones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La remuneración de estos derechos y su relación con los honorarios de producción son </w:t>
      </w:r>
      <w:r>
        <w:rPr>
          <w:rFonts w:ascii="Arial" w:hAnsi="Arial"/>
          <w:sz w:val="21"/>
          <w:color w:val="397CDD"/>
          <w:b/>
        </w:rPr>
        <w:t xml:space="preserve">[importe, criterio y partidas diferenciadas]</w:t>
      </w:r>
      <w:r>
        <w:rPr>
          <w:rFonts w:ascii="Arial" w:hAnsi="Arial"/>
          <w:sz w:val="21"/>
          <w:color w:val="000000"/>
        </w:rPr>
        <w:t xml:space="preserve">. El momento de eficacia del uso y su eventual condición de pago son </w:t>
      </w:r>
      <w:r>
        <w:rPr>
          <w:rFonts w:ascii="Arial" w:hAnsi="Arial"/>
          <w:sz w:val="21"/>
          <w:color w:val="397CDD"/>
          <w:b/>
        </w:rPr>
        <w:t xml:space="preserve">[pacto concreto, sin contradicción con el contrato]</w:t>
      </w:r>
      <w:r>
        <w:rPr>
          <w:rFonts w:ascii="Arial" w:hAnsi="Arial"/>
          <w:sz w:val="21"/>
          <w:color w:val="000000"/>
        </w:rPr>
        <w:t xml:space="preserve">. La entrega de soportes o editables no amplía por sí sola los derechos expresados.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Atribución y límites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La mención de autoría y los usos de portafolio que se permiten son </w:t>
      </w:r>
      <w:r>
        <w:rPr>
          <w:rFonts w:ascii="Arial" w:hAnsi="Arial"/>
          <w:sz w:val="21"/>
          <w:color w:val="397CDD"/>
          <w:b/>
        </w:rPr>
        <w:t xml:space="preserve">[pacto y límites]</w:t>
      </w:r>
      <w:r>
        <w:rPr>
          <w:rFonts w:ascii="Arial" w:hAnsi="Arial"/>
          <w:sz w:val="21"/>
          <w:color w:val="000000"/>
        </w:rPr>
        <w:t xml:space="preserve">. Se respetan los derechos morales y los límites legales; no se incluyen derechos o modalidades que no puedan transmitirse. Ante discrepancia con el contrato principal se aplicará </w:t>
      </w:r>
      <w:r>
        <w:rPr>
          <w:rFonts w:ascii="Arial" w:hAnsi="Arial"/>
          <w:sz w:val="21"/>
          <w:color w:val="397CDD"/>
          <w:b/>
        </w:rPr>
        <w:t xml:space="preserve">[regla de coordinación pactada y revisada]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En </w:t>
      </w:r>
      <w:r>
        <w:rPr>
          <w:rFonts w:ascii="Arial" w:hAnsi="Arial"/>
          <w:sz w:val="21"/>
          <w:color w:val="397CDD"/>
          <w:b/>
        </w:rPr>
        <w:t xml:space="preserve">[localidad]</w:t>
      </w:r>
      <w:r>
        <w:rPr>
          <w:rFonts w:ascii="Arial" w:hAnsi="Arial"/>
          <w:sz w:val="21"/>
          <w:color w:val="000000"/>
        </w:rPr>
        <w:t xml:space="preserve">, a </w:t>
      </w:r>
      <w:r>
        <w:rPr>
          <w:rFonts w:ascii="Arial" w:hAnsi="Arial"/>
          <w:sz w:val="21"/>
          <w:color w:val="397CDD"/>
          <w:b/>
        </w:rPr>
        <w:t xml:space="preserve">[fecha]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[Firmas e identificación de las partes]</w:t>
      </w:r>
    </w:p>
    <w:p>
      <w:r>
        <w:br w:type="page"/>
      </w:r>
    </w:p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Instrucciones y ejemplo de uso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Borrador para revisión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La parte inicial es un anexo de un encargo concreto, no una cesión universal. Complete todos los campos y resuelva contradicciones antes de firmar. Si el contrato ya regula una cuestión, remítase a su cláusula exacta o acuerde expresamente su modificación. No deje «todos los derechos para siempre» como sustituto del análisis.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Alcance jurídico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El artículo 43 limita la cesión a derechos, modalidades, tiempo y territorio determinados y contiene reglas para las omisiones. El 45 exige forma escrita. Autoría, materiales ajenos, derechos morales, remuneración y relación laboral pueden requerir reglas específicas. Un pago o la entrega de un archivo no acreditan cualquier cesión.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Variantes que debe decidir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Uso limitado: describa campaña, canales, plazo y territorio. Uso exclusivo: delimite qué exclusividad se concede y qué queda fuera; no la añada sin revisar facultades y remuneración. Editables: enumere archivos y dependencias de software o licencias. IA: describa herramientas y aportación humana sin garantizar protección o exclusividad automática.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Ejemplo ficticio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Estudio Lino entrega seis ilustraciones para una campaña web de una entidad durante doce meses en España, con uso no exclusivo. Se excluyen impresión y sublicencia, se identifican una tipografía ajena y los editables incluidos, y se diferencia precio de producción y licencia. Los nombres y términos son solo un ejemplo.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Fuente</w:t>
      </w:r>
    </w:p>
    <w:p>
      <w:pPr>
        <w:jc w:val="left"/>
        <w:widowControl/>
        <w:spacing w:after="110" w:line="276" w:lineRule="auto"/>
      </w:pPr>
      <w:hyperlink r:id="rIdModel300_16">
        <w:r>
          <w:rPr>
            <w:rFonts w:ascii="Arial" w:hAnsi="Arial"/>
            <w:sz w:val="21"/>
            <w:color w:val="397CDD"/>
          </w:rPr>
          <w:t xml:space="preserve">Ley de Propiedad Intelectual artículos 14 17 43 y 45</w:t>
        </w:r>
      </w:hyperlink>
      <w:r>
        <w:rPr>
          <w:rFonts w:ascii="Arial" w:hAnsi="Arial"/>
          <w:sz w:val="21"/>
          <w:color w:val="000000"/>
        </w:rPr>
        <w:t xml:space="preserve">. La ficha de prueba digital sirve para conservar versiones; este anexo documenta el alcance pactado y no certifica titularidad.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304" w:right="1304" w:bottom="1304" w:left="1304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b/>
      <w:bCs/>
      <w:rFonts w:ascii="Arial" w:hAnsi="Arial"/>
      <w:color w:val="000000"/>
      <w:sz w:val="2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b/>
      <w:bCs/>
      <w:rFonts w:ascii="Arial" w:hAnsi="Arial"/>
      <w:color w:val="000000"/>
      <w:sz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b/>
      <w:spacing w:val="5"/>
      <w:kern w:val="28"/>
      <w:rFonts w:ascii="Arial" w:hAnsi="Arial"/>
      <w:color w:val="000000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Relationship Id="rId12" Type="http://schemas.openxmlformats.org/officeDocument/2006/relationships/hyperlink" Target="https://eur-lex.europa.eu/legal-content/ES/TXT/?uri=CELEX:32012R0650" TargetMode="External"/><Relationship Id="rId13" Type="http://schemas.openxmlformats.org/officeDocument/2006/relationships/hyperlink" Target="https://www.boe.es/buscar/act.php?id=BOE-A-1991-27678" TargetMode="External"/><Relationship Id="rId14" Type="http://schemas.openxmlformats.org/officeDocument/2006/relationships/hyperlink" Target="https://clientebancario.bde.es/pcb/es/menu-horizontal/productosservici/herencias/guia-textual/Derechodeinformacionsobrelasposicionesdelcausante/Que_informacion_769a14e11eca761.html" TargetMode="External"/><Relationship Id="rIdLibrary15" Type="http://schemas.openxmlformats.org/officeDocument/2006/relationships/hyperlink" Target="https://www.boe.es/buscar/doc.php?id=DOUE-L-2022-81573" TargetMode="External"/><Relationship Id="rIdModel300_16" Type="http://schemas.openxmlformats.org/officeDocument/2006/relationships/hyperlink" Target="https://www.boe.es/buscar/act.php?id=BOE-A-1996-89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587</Words>
  <Characters>3361</Characters>
  <Application>Codex</Application>
  <DocSecurity>0</DocSecurity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Anexo de entregables y derechos de un encargo creativo</vt:lpstr>
    </vt:vector>
  </TitlesOfParts>
  <Manager/>
  <Company/>
  <LinksUpToDate>false</LinksUpToDate>
  <CharactersWithSpaces>3948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de entregables y derechos de un encargo creativo</dc:title>
  <dc:subject>Anexo para revisión antes de firmar</dc:subject>
  <dc:creator/>
  <cp:keywords/>
  <dc:description>Modelo jurídico editable de Pérez &amp; Burgos Abogados</dc:description>
  <cp:lastModifiedBy/>
  <cp:revision>2</cp:revision>
  <dcterms:created xsi:type="dcterms:W3CDTF">2026-10-29T00:00:00Z</dcterms:created>
  <dcterms:modified xsi:type="dcterms:W3CDTF">2026-10-29T00:00:00Z</dcterms:modified>
  <cp:category>Mercantil</cp:category>
  <dc:language>es-ES</dc:language>
</cp:coreProperties>
</file>