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0" w:after="40"/>
        <w:jc w:val="center"/>
      </w:pPr>
      <w:r>
        <w:rPr>
          <w:rFonts w:ascii="Arial" w:hAnsi="Arial"/>
          <w:b/>
          <w:color w:val="397CDD"/>
          <w:sz w:val="16"/>
        </w:rPr>
        <w:t>FISCAL Y TRIBUTARIO</w:t>
      </w:r>
    </w:p>
    <w:p>
      <w:pPr>
        <w:keepNext/>
        <w:spacing w:after="120"/>
        <w:jc w:val="center"/>
      </w:pPr>
      <w:r>
        <w:rPr>
          <w:rFonts w:ascii="Georgia" w:hAnsi="Georgia"/>
          <w:b/>
          <w:color w:val="17233C"/>
          <w:sz w:val="42"/>
        </w:rPr>
        <w:t>Alegaciones en procedimiento sancionador tributario</w:t>
      </w:r>
    </w:p>
    <w:p>
      <w:pPr>
        <w:spacing w:after="240"/>
        <w:jc w:val="center"/>
      </w:pPr>
      <w:r>
        <w:rPr>
          <w:rFonts w:ascii="Arial" w:hAnsi="Arial"/>
          <w:color w:val="667085"/>
          <w:sz w:val="21"/>
        </w:rPr>
        <w:t>Modelo para discutir tipicidad, culpabilidad, motivación, prueba, graduación y cuantía.</w:t>
      </w:r>
    </w:p>
    <w:tbl>
      <w:tblPr>
        <w:tblW w:type="dxa" w:w="9533"/>
        <w:tblLayout w:type="fixed"/>
        <w:tblLook w:firstColumn="1" w:firstRow="1" w:lastColumn="0" w:lastRow="0" w:noHBand="0" w:noVBand="1" w:val="04A0"/>
        <w:tblInd w:w="0" w:type="dxa"/>
      </w:tblPr>
      <w:tblGrid>
        <w:gridCol w:w="9533"/>
      </w:tblGrid>
      <w:tr>
        <w:tc>
          <w:tcPr>
            <w:tcW w:type="dxa" w:w="9533"/>
            <w:shd w:fill="F5F0E8"/>
            <w:tcMar>
              <w:top w:w="135" w:type="dxa"/>
              <w:start w:w="170" w:type="dxa"/>
              <w:bottom w:w="135" w:type="dxa"/>
              <w:end w:w="170" w:type="dxa"/>
            </w:tcMar>
            <w:vAlign w:val="center"/>
          </w:tcPr>
          <w:p>
            <w:pPr>
              <w:spacing w:after="80"/>
            </w:pPr>
            <w:r>
              <w:rPr>
                <w:rFonts w:ascii="Arial" w:hAnsi="Arial"/>
                <w:b/>
                <w:color w:val="17233C"/>
                <w:sz w:val="21"/>
              </w:rPr>
              <w:t>GUÍA DE USO · NO FORMA PARTE DEL ESCRITO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Documento editable y orientativo. Sustituye todos los campos azules y elimina las alternativas que no correspondan.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Comprueba destinatario, procedimiento, plazo, hechos, documentos y forma de presentación. Un modelo no determina por sí solo la estrategia ni interrumpe automáticamente ningún plazo.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Destinatario habitual: Órgano sancionador.</w:t>
            </w:r>
          </w:p>
        </w:tc>
      </w:tr>
    </w:tbl>
    <w:p>
      <w:pPr>
        <w:spacing w:after="0"/>
      </w:pPr>
    </w:p>
    <w:p>
      <w:pPr>
        <w:keepNext/>
        <w:spacing w:before="160" w:after="160"/>
        <w:jc w:val="center"/>
        <w:pBdr>
          <w:bottom w:val="single" w:sz="10" w:space="5" w:color="D7A46D"/>
        </w:pBdr>
      </w:pPr>
      <w:r>
        <w:rPr>
          <w:rFonts w:ascii="Georgia" w:hAnsi="Georgia"/>
          <w:b/>
          <w:color w:val="17233C"/>
          <w:sz w:val="31"/>
        </w:rPr>
        <w:t>BORRADOR EDITABLE</w:t>
      </w:r>
    </w:p>
    <w:p>
      <w:pPr>
        <w:spacing w:after="240"/>
        <w:jc w:val="center"/>
      </w:pPr>
      <w:r>
        <w:rPr>
          <w:rFonts w:ascii="Arial" w:hAnsi="Arial"/>
          <w:b/>
          <w:color w:val="667085"/>
          <w:sz w:val="16"/>
        </w:rPr>
        <w:t>DESDE AQUÍ COMIENZA EL TEXTO DEL DOCUMENTO</w:t>
      </w:r>
    </w:p>
    <w:p>
      <w:pPr>
        <w:pStyle w:val="Heading2"/>
      </w:pPr>
      <w:r>
        <w:t>Acuerdo de inicio o propuesta</w:t>
      </w:r>
    </w:p>
    <w:p>
      <w:pPr>
        <w:jc w:val="both"/>
      </w:pPr>
      <w:r>
        <w:rPr>
          <w:rFonts w:ascii="Arial" w:hAnsi="Arial"/>
        </w:rPr>
        <w:t xml:space="preserve">Infracción imputada </w:t>
      </w:r>
      <w:r>
        <w:rPr>
          <w:rFonts w:ascii="Arial" w:hAnsi="Arial"/>
          <w:b/>
          <w:color w:val="397CDD"/>
          <w:shd w:fill="E5EFFC"/>
        </w:rPr>
        <w:t>{{INFRACCION}}</w:t>
      </w:r>
      <w:r>
        <w:rPr>
          <w:rFonts w:ascii="Arial" w:hAnsi="Arial"/>
        </w:rPr>
        <w:t xml:space="preserve">, periodo </w:t>
      </w:r>
      <w:r>
        <w:rPr>
          <w:rFonts w:ascii="Arial" w:hAnsi="Arial"/>
          <w:b/>
          <w:color w:val="397CDD"/>
          <w:shd w:fill="E5EFFC"/>
        </w:rPr>
        <w:t>{{PERIODO}}</w:t>
      </w:r>
      <w:r>
        <w:rPr>
          <w:rFonts w:ascii="Arial" w:hAnsi="Arial"/>
        </w:rPr>
        <w:t xml:space="preserve">, acuerdo notificado el </w:t>
      </w:r>
      <w:r>
        <w:rPr>
          <w:rFonts w:ascii="Arial" w:hAnsi="Arial"/>
          <w:b/>
          <w:color w:val="397CDD"/>
          <w:shd w:fill="E5EFFC"/>
        </w:rPr>
        <w:t>{{FECHA}}</w:t>
      </w:r>
      <w:r>
        <w:rPr>
          <w:rFonts w:ascii="Arial" w:hAnsi="Arial"/>
        </w:rPr>
        <w:t>.</w:t>
      </w:r>
    </w:p>
    <w:p>
      <w:pPr>
        <w:pStyle w:val="Heading2"/>
      </w:pPr>
      <w:r>
        <w:t>Hechos</w:t>
      </w:r>
    </w:p>
    <w:p>
      <w:pPr>
        <w:jc w:val="both"/>
      </w:pPr>
      <w:r>
        <w:rPr>
          <w:rFonts w:ascii="Arial" w:hAnsi="Arial"/>
        </w:rPr>
        <w:t xml:space="preserve">Los hechos relevantes son </w:t>
      </w:r>
      <w:r>
        <w:rPr>
          <w:rFonts w:ascii="Arial" w:hAnsi="Arial"/>
          <w:b/>
          <w:color w:val="397CDD"/>
          <w:shd w:fill="E5EFFC"/>
        </w:rPr>
        <w:t>{{HECHOS}}</w:t>
      </w:r>
      <w:r>
        <w:rPr>
          <w:rFonts w:ascii="Arial" w:hAnsi="Arial"/>
        </w:rPr>
        <w:t xml:space="preserve"> y difieren de la imputación en </w:t>
      </w:r>
      <w:r>
        <w:rPr>
          <w:rFonts w:ascii="Arial" w:hAnsi="Arial"/>
          <w:b/>
          <w:color w:val="397CDD"/>
          <w:shd w:fill="E5EFFC"/>
        </w:rPr>
        <w:t>{{DIFERENCIAS}}</w:t>
      </w:r>
      <w:r>
        <w:rPr>
          <w:rFonts w:ascii="Arial" w:hAnsi="Arial"/>
        </w:rPr>
        <w:t>.</w:t>
      </w:r>
    </w:p>
    <w:p>
      <w:pPr>
        <w:pStyle w:val="Heading2"/>
      </w:pPr>
      <w:r>
        <w:t>Culpabilidad</w:t>
      </w:r>
    </w:p>
    <w:p>
      <w:pPr>
        <w:jc w:val="both"/>
      </w:pPr>
      <w:r>
        <w:rPr>
          <w:rFonts w:ascii="Arial" w:hAnsi="Arial"/>
        </w:rPr>
        <w:t xml:space="preserve">No existe motivación individualizada suficiente o concurre </w:t>
      </w:r>
      <w:r>
        <w:rPr>
          <w:rFonts w:ascii="Arial" w:hAnsi="Arial"/>
          <w:b/>
          <w:color w:val="397CDD"/>
          <w:shd w:fill="E5EFFC"/>
        </w:rPr>
        <w:t>{{CAUSA_AUSENCIA_CULPABILIDAD}}</w:t>
      </w:r>
      <w:r>
        <w:rPr>
          <w:rFonts w:ascii="Arial" w:hAnsi="Arial"/>
        </w:rPr>
        <w:t>.</w:t>
      </w:r>
    </w:p>
    <w:p>
      <w:pPr>
        <w:pStyle w:val="Heading2"/>
      </w:pPr>
      <w:r>
        <w:t>Tipicidad y prueba</w:t>
      </w:r>
    </w:p>
    <w:p>
      <w:pPr>
        <w:jc w:val="both"/>
      </w:pPr>
      <w:r>
        <w:rPr>
          <w:rFonts w:ascii="Arial" w:hAnsi="Arial"/>
        </w:rPr>
        <w:t xml:space="preserve">La conducta no encaja o no ha sido probada por </w:t>
      </w:r>
      <w:r>
        <w:rPr>
          <w:rFonts w:ascii="Arial" w:hAnsi="Arial"/>
          <w:b/>
          <w:color w:val="397CDD"/>
          <w:shd w:fill="E5EFFC"/>
        </w:rPr>
        <w:t>{{ARGUMENTO_TIPICIDAD_PRUEBA}}</w:t>
      </w:r>
      <w:r>
        <w:rPr>
          <w:rFonts w:ascii="Arial" w:hAnsi="Arial"/>
        </w:rPr>
        <w:t>.</w:t>
      </w:r>
    </w:p>
    <w:p>
      <w:pPr>
        <w:pStyle w:val="Heading2"/>
      </w:pPr>
      <w:r>
        <w:t>Cuantificación y graduación</w:t>
      </w:r>
    </w:p>
    <w:p>
      <w:pPr>
        <w:jc w:val="both"/>
      </w:pPr>
      <w:r>
        <w:rPr>
          <w:rFonts w:ascii="Arial" w:hAnsi="Arial"/>
        </w:rPr>
        <w:t xml:space="preserve">Subsidiariamente se discuten base, porcentaje o criterios por </w:t>
      </w:r>
      <w:r>
        <w:rPr>
          <w:rFonts w:ascii="Arial" w:hAnsi="Arial"/>
          <w:b/>
          <w:color w:val="397CDD"/>
          <w:shd w:fill="E5EFFC"/>
        </w:rPr>
        <w:t>{{ARGUMENTO_CUANTIA}}</w:t>
      </w:r>
      <w:r>
        <w:rPr>
          <w:rFonts w:ascii="Arial" w:hAnsi="Arial"/>
        </w:rPr>
        <w:t>.</w:t>
      </w:r>
    </w:p>
    <w:p>
      <w:pPr>
        <w:pStyle w:val="Heading2"/>
      </w:pPr>
      <w:r>
        <w:t>Solicitud</w:t>
      </w:r>
    </w:p>
    <w:p>
      <w:pPr>
        <w:jc w:val="both"/>
      </w:pPr>
      <w:r>
        <w:rPr>
          <w:rFonts w:ascii="Arial" w:hAnsi="Arial"/>
        </w:rPr>
        <w:t xml:space="preserve">Se solicita archivar el procedimiento o, subsidiariamente, corregir la calificación y cuantía conforme a </w:t>
      </w:r>
      <w:r>
        <w:rPr>
          <w:rFonts w:ascii="Arial" w:hAnsi="Arial"/>
          <w:b/>
          <w:color w:val="397CDD"/>
          <w:shd w:fill="E5EFFC"/>
        </w:rPr>
        <w:t>{{PETICION_SUBSIDIARIA}}</w:t>
      </w:r>
      <w:r>
        <w:rPr>
          <w:rFonts w:ascii="Arial" w:hAnsi="Arial"/>
        </w:rPr>
        <w:t>.</w:t>
      </w:r>
    </w:p>
    <w:p>
      <w:pPr>
        <w:pStyle w:val="Heading2"/>
      </w:pPr>
      <w:r>
        <w:t>Petición o acuerdo final</w:t>
      </w:r>
    </w:p>
    <w:p>
      <w:r>
        <w:rPr>
          <w:rFonts w:ascii="Arial" w:hAnsi="Arial"/>
        </w:rPr>
        <w:t xml:space="preserve">En </w:t>
      </w:r>
      <w:r>
        <w:rPr>
          <w:rFonts w:ascii="Arial" w:hAnsi="Arial"/>
          <w:b/>
          <w:color w:val="397CDD"/>
          <w:shd w:fill="E5EFFC"/>
        </w:rPr>
        <w:t>{{LOCALIDAD}}</w:t>
      </w:r>
      <w:r>
        <w:rPr>
          <w:rFonts w:ascii="Arial" w:hAnsi="Arial"/>
        </w:rPr>
        <w:t xml:space="preserve">, a </w:t>
      </w:r>
      <w:r>
        <w:rPr>
          <w:rFonts w:ascii="Arial" w:hAnsi="Arial"/>
          <w:b/>
          <w:color w:val="397CDD"/>
          <w:shd w:fill="E5EFFC"/>
        </w:rPr>
        <w:t>{{FECHA_FIRMA}}</w:t>
      </w:r>
      <w:r>
        <w:rPr>
          <w:rFonts w:ascii="Arial" w:hAnsi="Arial"/>
        </w:rPr>
        <w:t xml:space="preserve">. Se firma o presenta por </w:t>
      </w:r>
      <w:r>
        <w:rPr>
          <w:rFonts w:ascii="Arial" w:hAnsi="Arial"/>
          <w:b/>
          <w:color w:val="397CDD"/>
          <w:shd w:fill="E5EFFC"/>
        </w:rPr>
        <w:t>{{FIRMANTES_O_REPRESENTANTE}}</w:t>
      </w:r>
      <w:r>
        <w:rPr>
          <w:rFonts w:ascii="Arial" w:hAnsi="Arial"/>
        </w:rPr>
        <w:t>.</w:t>
      </w:r>
    </w:p>
    <w:tbl>
      <w:tblPr>
        <w:tblW w:type="dxa" w:w="9532"/>
        <w:tblLayout w:type="fixed"/>
        <w:tblLook w:firstColumn="1" w:firstRow="1" w:lastColumn="0" w:lastRow="0" w:noHBand="0" w:noVBand="1" w:val="04A0"/>
        <w:tblInd w:w="0" w:type="dxa"/>
      </w:tblPr>
      <w:tblGrid>
        <w:gridCol w:w="4766"/>
        <w:gridCol w:w="4766"/>
      </w:tblGrid>
      <w:tr>
        <w:tc>
          <w:tcPr>
            <w:tcW w:type="dxa" w:w="4766"/>
            <w:shd w:fill="EFF4F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18"/>
              </w:rPr>
              <w:t>Firma / identificación</w:t>
            </w:r>
          </w:p>
        </w:tc>
        <w:tc>
          <w:tcPr>
            <w:tcW w:type="dxa" w:w="4766"/>
            <w:shd w:fill="EFF4F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18"/>
              </w:rPr>
              <w:t>Firma / representación</w:t>
            </w:r>
          </w:p>
        </w:tc>
      </w:tr>
      <w:tr>
        <w:tc>
          <w:tcPr>
            <w:tcW w:type="dxa" w:w="4766"/>
            <w:tcMar>
              <w:top w:w="300" w:type="dxa"/>
              <w:start w:w="140" w:type="dxa"/>
              <w:bottom w:w="320" w:type="dxa"/>
              <w:end w:w="140" w:type="dxa"/>
            </w:tcMar>
          </w:tcPr>
          <w:p>
            <w:r>
              <w:rPr>
                <w:rFonts w:ascii="Arial" w:hAnsi="Arial"/>
                <w:b/>
                <w:color w:val="397CDD"/>
                <w:shd w:fill="E5EFFC"/>
              </w:rPr>
              <w:t>{{NOMBRE_Y_FIRMA}}</w:t>
            </w:r>
          </w:p>
        </w:tc>
        <w:tc>
          <w:tcPr>
            <w:tcW w:type="dxa" w:w="4766"/>
            <w:tcMar>
              <w:top w:w="300" w:type="dxa"/>
              <w:start w:w="140" w:type="dxa"/>
              <w:bottom w:w="320" w:type="dxa"/>
              <w:end w:w="140" w:type="dxa"/>
            </w:tcMar>
          </w:tcPr>
          <w:p>
            <w:r>
              <w:rPr>
                <w:rFonts w:ascii="Arial" w:hAnsi="Arial"/>
                <w:b/>
                <w:color w:val="397CDD"/>
                <w:shd w:fill="E5EFFC"/>
              </w:rPr>
              <w:t>{{NOMBRE_Y_FIRMA}}</w:t>
            </w:r>
          </w:p>
        </w:tc>
      </w:tr>
    </w:tbl>
    <w:p>
      <w:r>
        <w:br w:type="page"/>
      </w:r>
    </w:p>
    <w:p>
      <w:pPr>
        <w:keepNext/>
        <w:spacing w:before="160" w:after="160"/>
        <w:jc w:val="center"/>
        <w:pBdr>
          <w:bottom w:val="single" w:sz="10" w:space="5" w:color="D7A46D"/>
        </w:pBdr>
      </w:pPr>
      <w:r>
        <w:rPr>
          <w:rFonts w:ascii="Georgia" w:hAnsi="Georgia"/>
          <w:b/>
          <w:color w:val="17233C"/>
          <w:sz w:val="31"/>
        </w:rPr>
        <w:t>GUÍA DE REVISIÓN</w:t>
      </w:r>
    </w:p>
    <w:p>
      <w:pPr>
        <w:spacing w:after="240"/>
        <w:jc w:val="center"/>
      </w:pPr>
      <w:r>
        <w:rPr>
          <w:rFonts w:ascii="Arial" w:hAnsi="Arial"/>
          <w:b/>
          <w:color w:val="667085"/>
          <w:sz w:val="16"/>
        </w:rPr>
        <w:t>MATERIAL DE APOYO · ELIMINA ESTA PARTE ANTES DE FIRMAR O PRESENTAR</w:t>
      </w:r>
    </w:p>
    <w:p>
      <w:pPr>
        <w:pStyle w:val="Heading1"/>
      </w:pPr>
      <w:r>
        <w:t>Comprobación antes de firmar o presentar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Acuerdo completo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Expediente de liquidación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Prueba de diligencia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Cálculo de sanción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Plazos y reducciones</w:t>
      </w:r>
    </w:p>
    <w:tbl>
      <w:tblPr>
        <w:tblW w:type="dxa" w:w="9533"/>
        <w:tblLayout w:type="fixed"/>
        <w:tblLook w:firstColumn="1" w:firstRow="1" w:lastColumn="0" w:lastRow="0" w:noHBand="0" w:noVBand="1" w:val="04A0"/>
        <w:tblInd w:w="0" w:type="dxa"/>
      </w:tblPr>
      <w:tblGrid>
        <w:gridCol w:w="9533"/>
      </w:tblGrid>
      <w:tr>
        <w:tc>
          <w:tcPr>
            <w:tcW w:type="dxa" w:w="9533"/>
            <w:shd w:fill="EFF4FC"/>
            <w:tcMar>
              <w:top w:w="135" w:type="dxa"/>
              <w:start w:w="170" w:type="dxa"/>
              <w:bottom w:w="135" w:type="dxa"/>
              <w:end w:w="170" w:type="dxa"/>
            </w:tcMar>
            <w:vAlign w:val="center"/>
          </w:tcPr>
          <w:p>
            <w:pPr>
              <w:spacing w:after="80"/>
            </w:pPr>
            <w:r>
              <w:rPr>
                <w:rFonts w:ascii="Arial" w:hAnsi="Arial"/>
                <w:b/>
                <w:color w:val="17233C"/>
                <w:sz w:val="21"/>
              </w:rPr>
              <w:t>Puntos que requieren especial atención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No pierdas reducciones sin comparar escenarios.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La liquidación y la sanción son actos distintos aunque estén relacionados.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La culpabilidad debe analizarse en el caso concreto.</w:t>
            </w:r>
          </w:p>
        </w:tc>
      </w:tr>
    </w:tbl>
    <w:p>
      <w:pPr>
        <w:spacing w:after="0"/>
      </w:pPr>
    </w:p>
    <w:p>
      <w:pPr>
        <w:pStyle w:val="Heading1"/>
      </w:pPr>
      <w:r>
        <w:t>Fuentes de referencia</w:t>
      </w:r>
    </w:p>
    <w:p>
      <w:r>
        <w:rPr>
          <w:b/>
        </w:rPr>
        <w:t>Ley General Tributaria, régimen sancionador</w:t>
      </w:r>
      <w:r>
        <w:t xml:space="preserve"> — https://www.boe.es/buscar/act.php?id=BOE-A-2003-23186</w:t>
      </w:r>
    </w:p>
    <w:p>
      <w:pPr>
        <w:spacing w:before="120"/>
      </w:pPr>
      <w:r>
        <w:rPr>
          <w:i/>
          <w:color w:val="667085"/>
          <w:sz w:val="16"/>
        </w:rPr>
        <w:t>Versión revisada: 2026-08-24. Información jurídica general; normativa y procedimiento deben comprobarse en la fecha de uso.</w:t>
      </w:r>
    </w:p>
    <w:sectPr w:rsidR="00FC693F" w:rsidRPr="0006063C" w:rsidSect="00034616">
      <w:headerReference w:type="default" r:id="rId9"/>
      <w:footerReference w:type="default" r:id="rId10"/>
      <w:pgSz w:w="11905" w:h="16838"/>
      <w:pgMar w:top="1008" w:right="1187" w:bottom="950" w:left="1187" w:header="389" w:footer="38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9533"/>
      <w:tblLayout w:type="fixed"/>
      <w:tblLook w:firstColumn="1" w:firstRow="1" w:lastColumn="0" w:lastRow="0" w:noHBand="0" w:noVBand="1" w:val="04A0"/>
      <w:tblInd w:w="0" w:type="dxa"/>
    </w:tblPr>
    <w:tblGrid>
      <w:gridCol w:w="8237"/>
      <w:gridCol w:w="1296"/>
    </w:tblGrid>
    <w:tr>
      <w:tc>
        <w:tcPr>
          <w:tcW w:type="dxa" w:w="8237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</w:pPr>
          <w:r>
            <w:rPr>
              <w:rFonts w:ascii="Arial" w:hAnsi="Arial"/>
              <w:color w:val="667085"/>
              <w:sz w:val="14"/>
            </w:rPr>
            <w:t>Modelo orientativo · Revisión profesional recomendada · perezburgosabogados.es</w:t>
          </w:r>
        </w:p>
      </w:tc>
      <w:tc>
        <w:tcPr>
          <w:tcW w:type="dxa" w:w="1296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Georgia" w:hAnsi="Georgia"/>
        <w:b/>
        <w:color w:val="17233C"/>
        <w:sz w:val="18"/>
      </w:rPr>
      <w:t>PÉREZ &amp; BURGOS</w:t>
    </w:r>
    <w:r>
      <w:rPr>
        <w:rFonts w:ascii="Arial" w:hAnsi="Arial"/>
        <w:b/>
        <w:color w:val="397CDD"/>
        <w:sz w:val="15"/>
      </w:rPr>
      <w:t xml:space="preserve">  ·  MODELOS JURÍDICOS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8" w:lineRule="auto"/>
      <w:jc w:val="both"/>
    </w:pPr>
    <w:rPr>
      <w:rFonts w:ascii="Arial" w:hAnsi="Arial"/>
      <w:color w:val="263044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40"/>
      <w:outlineLvl w:val="0"/>
    </w:pPr>
    <w:rPr>
      <w:rFonts w:asciiTheme="majorHAnsi" w:eastAsiaTheme="majorEastAsia" w:hAnsiTheme="majorHAnsi" w:cstheme="majorBidi" w:ascii="Georgia" w:hAnsi="Georgia"/>
      <w:b/>
      <w:bCs/>
      <w:color w:val="17233C"/>
      <w:sz w:val="3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Georgia" w:hAnsi="Georgia"/>
      <w:b/>
      <w:bCs/>
      <w:color w:val="17233C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Georgia" w:hAnsi="Georgia"/>
      <w:b/>
      <w:bCs/>
      <w:color w:val="17233C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Modelo jurídico editable de Pérez &amp; Burgos Abogados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