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FISCAL Y TRIBUTARIO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Alegaciones frente a propuesta de liquidación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Escrito para discutir hechos, cálculos y fundamentos antes de una liquidación tributaria.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gestor o inspector.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Propuesta</w:t>
      </w:r>
    </w:p>
    <w:p>
      <w:pPr>
        <w:jc w:val="both"/>
      </w:pPr>
      <w:r>
        <w:rPr>
          <w:rFonts w:ascii="Arial" w:hAnsi="Arial"/>
        </w:rPr>
        <w:t xml:space="preserve">Tributo </w:t>
      </w:r>
      <w:r>
        <w:rPr>
          <w:rFonts w:ascii="Arial" w:hAnsi="Arial"/>
          <w:b/>
          <w:color w:val="397CDD"/>
          <w:shd w:fill="E5EFFC"/>
        </w:rPr>
        <w:t>{{TRIBUTO}}</w:t>
      </w:r>
      <w:r>
        <w:rPr>
          <w:rFonts w:ascii="Arial" w:hAnsi="Arial"/>
        </w:rPr>
        <w:t xml:space="preserve">, ejercicio </w:t>
      </w:r>
      <w:r>
        <w:rPr>
          <w:rFonts w:ascii="Arial" w:hAnsi="Arial"/>
          <w:b/>
          <w:color w:val="397CDD"/>
          <w:shd w:fill="E5EFFC"/>
        </w:rPr>
        <w:t>{{EJERCICIO}}</w:t>
      </w:r>
      <w:r>
        <w:rPr>
          <w:rFonts w:ascii="Arial" w:hAnsi="Arial"/>
        </w:rPr>
        <w:t xml:space="preserve">, expediente </w:t>
      </w:r>
      <w:r>
        <w:rPr>
          <w:rFonts w:ascii="Arial" w:hAnsi="Arial"/>
          <w:b/>
          <w:color w:val="397CDD"/>
          <w:shd w:fill="E5EFFC"/>
        </w:rPr>
        <w:t>{{EXPEDIENTE}}</w:t>
      </w:r>
      <w:r>
        <w:rPr>
          <w:rFonts w:ascii="Arial" w:hAnsi="Arial"/>
        </w:rPr>
        <w:t xml:space="preserve">, propuesta notificada el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>.</w:t>
      </w:r>
    </w:p>
    <w:p>
      <w:pPr>
        <w:pStyle w:val="Heading2"/>
      </w:pPr>
      <w:r>
        <w:t>Discrepancias fácticas</w:t>
      </w:r>
    </w:p>
    <w:p>
      <w:pPr>
        <w:jc w:val="both"/>
      </w:pPr>
      <w:r>
        <w:rPr>
          <w:rFonts w:ascii="Arial" w:hAnsi="Arial"/>
        </w:rPr>
        <w:t xml:space="preserve">La propuesta parte de </w:t>
      </w:r>
      <w:r>
        <w:rPr>
          <w:rFonts w:ascii="Arial" w:hAnsi="Arial"/>
          <w:b/>
          <w:color w:val="397CDD"/>
          <w:shd w:fill="E5EFFC"/>
        </w:rPr>
        <w:t>{{HECHO_PROPUESTA}}</w:t>
      </w:r>
      <w:r>
        <w:rPr>
          <w:rFonts w:ascii="Arial" w:hAnsi="Arial"/>
        </w:rPr>
        <w:t xml:space="preserve">, pero la documentación acredita </w:t>
      </w:r>
      <w:r>
        <w:rPr>
          <w:rFonts w:ascii="Arial" w:hAnsi="Arial"/>
          <w:b/>
          <w:color w:val="397CDD"/>
          <w:shd w:fill="E5EFFC"/>
        </w:rPr>
        <w:t>{{HECHO_CORRECTO}}</w:t>
      </w:r>
      <w:r>
        <w:rPr>
          <w:rFonts w:ascii="Arial" w:hAnsi="Arial"/>
        </w:rPr>
        <w:t>.</w:t>
      </w:r>
    </w:p>
    <w:p>
      <w:pPr>
        <w:pStyle w:val="Heading2"/>
      </w:pPr>
      <w:r>
        <w:t>Discrepancias jurídicas</w:t>
      </w:r>
    </w:p>
    <w:p>
      <w:pPr>
        <w:jc w:val="both"/>
      </w:pPr>
      <w:r>
        <w:rPr>
          <w:rFonts w:ascii="Arial" w:hAnsi="Arial"/>
        </w:rPr>
        <w:t xml:space="preserve">La calificación o norma aplicada se discute por </w:t>
      </w:r>
      <w:r>
        <w:rPr>
          <w:rFonts w:ascii="Arial" w:hAnsi="Arial"/>
          <w:b/>
          <w:color w:val="397CDD"/>
          <w:shd w:fill="E5EFFC"/>
        </w:rPr>
        <w:t>{{ARGUMENTO_JURIDICO}}</w:t>
      </w:r>
      <w:r>
        <w:rPr>
          <w:rFonts w:ascii="Arial" w:hAnsi="Arial"/>
        </w:rPr>
        <w:t>.</w:t>
      </w:r>
    </w:p>
    <w:p>
      <w:pPr>
        <w:pStyle w:val="Heading2"/>
      </w:pPr>
      <w:r>
        <w:t>Cálculo alternativo</w:t>
      </w:r>
    </w:p>
    <w:p>
      <w:pPr>
        <w:jc w:val="both"/>
      </w:pPr>
      <w:r>
        <w:rPr>
          <w:rFonts w:ascii="Arial" w:hAnsi="Arial"/>
        </w:rPr>
        <w:t xml:space="preserve">Base, cuota o resultado correcto: </w:t>
      </w:r>
      <w:r>
        <w:rPr>
          <w:rFonts w:ascii="Arial" w:hAnsi="Arial"/>
          <w:b/>
          <w:color w:val="397CDD"/>
          <w:shd w:fill="E5EFFC"/>
        </w:rPr>
        <w:t>{{CALCULO_ALTERNATIVO}}</w:t>
      </w:r>
      <w:r>
        <w:rPr>
          <w:rFonts w:ascii="Arial" w:hAnsi="Arial"/>
        </w:rPr>
        <w:t xml:space="preserve">, según anexo </w:t>
      </w:r>
      <w:r>
        <w:rPr>
          <w:rFonts w:ascii="Arial" w:hAnsi="Arial"/>
          <w:b/>
          <w:color w:val="397CDD"/>
          <w:shd w:fill="E5EFFC"/>
        </w:rPr>
        <w:t>{{ANEXO_CALCULO}}</w:t>
      </w:r>
      <w:r>
        <w:rPr>
          <w:rFonts w:ascii="Arial" w:hAnsi="Arial"/>
        </w:rPr>
        <w:t>.</w:t>
      </w:r>
    </w:p>
    <w:p>
      <w:pPr>
        <w:pStyle w:val="Heading2"/>
      </w:pPr>
      <w:r>
        <w:t>Prueba</w:t>
      </w:r>
    </w:p>
    <w:p>
      <w:pPr>
        <w:jc w:val="both"/>
      </w:pPr>
      <w:r>
        <w:rPr>
          <w:rFonts w:ascii="Arial" w:hAnsi="Arial"/>
        </w:rPr>
        <w:t xml:space="preserve">Se aportan </w:t>
      </w:r>
      <w:r>
        <w:rPr>
          <w:rFonts w:ascii="Arial" w:hAnsi="Arial"/>
          <w:b/>
          <w:color w:val="397CDD"/>
          <w:shd w:fill="E5EFFC"/>
        </w:rPr>
        <w:t>{{DOCUMENTOS}}</w:t>
      </w:r>
      <w:r>
        <w:rPr>
          <w:rFonts w:ascii="Arial" w:hAnsi="Arial"/>
        </w:rPr>
        <w:t xml:space="preserve"> y se solicita valorar </w:t>
      </w:r>
      <w:r>
        <w:rPr>
          <w:rFonts w:ascii="Arial" w:hAnsi="Arial"/>
          <w:b/>
          <w:color w:val="397CDD"/>
          <w:shd w:fill="E5EFFC"/>
        </w:rPr>
        <w:t>{{PRUEBA}}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dejar sin efecto o rectificar la propuesta en los términos </w:t>
      </w:r>
      <w:r>
        <w:rPr>
          <w:rFonts w:ascii="Arial" w:hAnsi="Arial"/>
          <w:b/>
          <w:color w:val="397CDD"/>
          <w:shd w:fill="E5EFFC"/>
        </w:rPr>
        <w:t>{{PETICION}}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Propuesta completa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Expediente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Cálculo reproducible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Jurisprudencia o consulta aplicable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Facturas y libros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Distingue propuesta y liquidación definitiva.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Cuadra cada cifra con un documento.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Las alegaciones genéricas rara vez corrigen un cálculo.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General Tributaria</w:t>
      </w:r>
      <w:r>
        <w:t xml:space="preserve"> — https://www.boe.es/buscar/act.php?id=BOE-A-2003-23186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