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Acuerdo temporal de uso y conservación de un inmueble hereditario indiviso</w:t>
      </w:r>
    </w:p>
    <w:p>
      <w:pPr>
        <w:jc w:val="center"/>
      </w:pPr>
      <w:r>
        <w:rPr>
          <w:rFonts w:ascii="Arial" w:hAnsi="Arial"/>
          <w:color w:val="68777D"/>
          <w:sz w:val="20"/>
        </w:rPr>
        <w:t>Acuerdo limitado para organizar de forma consensuada el uso, los gastos y la conservación de un inmueble pendiente de partición.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Use esta versión solo cuando la aceptación previa y la legitimación estén comprobadas, intervengan todos los titulares de derechos afectados y no haya conflicto de representación. Su firma es un acuerdo real; no es una forma de conservar el derecho a renunciar si los actos ya implican aceptación.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ACUERDO TEMPORAL SOBRE USO, GASTOS Y CONSERVACIÓN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REUNIDOS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[NOMBRE, IDENTIFICACIÓN Y DOMICILIO]</w:t>
      </w:r>
      <w:r>
        <w:rPr>
          <w:rFonts w:ascii="Arial" w:hAnsi="Arial"/>
          <w:color w:val="263A43"/>
          <w:sz w:val="20"/>
        </w:rPr>
        <w:t xml:space="preserve">, con derecho documentado </w:t>
      </w:r>
      <w:r>
        <w:rPr>
          <w:rFonts w:ascii="Arial" w:hAnsi="Arial"/>
          <w:b/>
          <w:color w:val="397CDD"/>
          <w:sz w:val="20"/>
          <w:shd w:fill="E8F0FB"/>
        </w:rPr>
        <w:t>[TÍTULO Y ALCANCE]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[NOMBRE, IDENTIFICACIÓN Y DOMICILIO]</w:t>
      </w:r>
      <w:r>
        <w:rPr>
          <w:rFonts w:ascii="Arial" w:hAnsi="Arial"/>
          <w:color w:val="263A43"/>
          <w:sz w:val="20"/>
        </w:rPr>
        <w:t xml:space="preserve">, con derecho documentado </w:t>
      </w:r>
      <w:r>
        <w:rPr>
          <w:rFonts w:ascii="Arial" w:hAnsi="Arial"/>
          <w:b/>
          <w:color w:val="397CDD"/>
          <w:sz w:val="20"/>
          <w:shd w:fill="E8F0FB"/>
        </w:rPr>
        <w:t>[TÍTULO Y ALCANCE]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Otros titulares de derechos afectados que intervienen: </w:t>
      </w:r>
      <w:r>
        <w:rPr>
          <w:rFonts w:ascii="Arial" w:hAnsi="Arial"/>
          <w:b/>
          <w:color w:val="397CDD"/>
          <w:sz w:val="20"/>
          <w:shd w:fill="E8F0FB"/>
        </w:rPr>
        <w:t>[IDENTIFICACIÓN Y TÍTULO; INCLUIR A TODOS LOS NECESARIOS]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 aceptación sucesoria previa y las facultades de actuación se acreditan mediante </w:t>
      </w:r>
      <w:r>
        <w:rPr>
          <w:rFonts w:ascii="Arial" w:hAnsi="Arial"/>
          <w:b/>
          <w:color w:val="397CDD"/>
          <w:sz w:val="20"/>
          <w:shd w:fill="E8F0FB"/>
        </w:rPr>
        <w:t>[DOCUMENTO O ACTO PREVIAMENTE REVISADO, SIN UTILIZAR ESTE ACUERDO COMO DECLARACIÓN INICIAL DE ACEPTACIÓN]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EXPONEN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la sucesión de </w:t>
      </w:r>
      <w:r>
        <w:rPr>
          <w:rFonts w:ascii="Arial" w:hAnsi="Arial"/>
          <w:b/>
          <w:color w:val="397CDD"/>
          <w:sz w:val="20"/>
          <w:shd w:fill="E8F0FB"/>
        </w:rPr>
        <w:t>[CAUSANTE Y FECHA DE FALLECIMIENTO]</w:t>
      </w:r>
      <w:r>
        <w:rPr>
          <w:rFonts w:ascii="Arial" w:hAnsi="Arial"/>
          <w:color w:val="263A43"/>
          <w:sz w:val="20"/>
        </w:rPr>
        <w:t xml:space="preserve"> se encuentra pendiente de partición el inmueble sito en </w:t>
      </w:r>
      <w:r>
        <w:rPr>
          <w:rFonts w:ascii="Arial" w:hAnsi="Arial"/>
          <w:b/>
          <w:color w:val="397CDD"/>
          <w:sz w:val="20"/>
          <w:shd w:fill="E8F0FB"/>
        </w:rPr>
        <w:t>[DIRECCIÓN]</w:t>
      </w:r>
      <w:r>
        <w:rPr>
          <w:rFonts w:ascii="Arial" w:hAnsi="Arial"/>
          <w:color w:val="263A43"/>
          <w:sz w:val="20"/>
        </w:rPr>
        <w:t xml:space="preserve">, finca registral </w:t>
      </w:r>
      <w:r>
        <w:rPr>
          <w:rFonts w:ascii="Arial" w:hAnsi="Arial"/>
          <w:b/>
          <w:color w:val="397CDD"/>
          <w:sz w:val="20"/>
          <w:shd w:fill="E8F0FB"/>
        </w:rPr>
        <w:t>[DATOS]</w:t>
      </w:r>
      <w:r>
        <w:rPr>
          <w:rFonts w:ascii="Arial" w:hAnsi="Arial"/>
          <w:color w:val="263A43"/>
          <w:sz w:val="20"/>
        </w:rPr>
        <w:t xml:space="preserve">, referencia catastral </w:t>
      </w:r>
      <w:r>
        <w:rPr>
          <w:rFonts w:ascii="Arial" w:hAnsi="Arial"/>
          <w:b/>
          <w:color w:val="397CDD"/>
          <w:sz w:val="20"/>
          <w:shd w:fill="E8F0FB"/>
        </w:rPr>
        <w:t>[DATO]</w:t>
      </w:r>
      <w:r>
        <w:rPr>
          <w:rFonts w:ascii="Arial" w:hAnsi="Arial"/>
          <w:color w:val="263A43"/>
          <w:sz w:val="20"/>
        </w:rPr>
        <w:t xml:space="preserve">, con los derechos y cargas siguientes: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La situación posesoria y los derechos de terceros son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 Las partes han comprobado que este acuerdo no contradice un arrendamiento, usufructo, resolución o derecho de tercero que impida lo pactado.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Desean ordenar temporalmente la utilización y conservación, sin adjudicar el inmueble ni modificar cuotas o derechos sucesorios.</w:t>
      </w:r>
    </w:p>
    <w:p>
      <w:pPr>
        <w:pStyle w:val="Heading2"/>
      </w:pPr>
      <w:r>
        <w:t>ACUERDAN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Duración y objeto.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acuerdo regirá desde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hasta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, sin prórroga automática. La partición o un nuevo acuerdo válido obligarán a revisar su continuidad. No constituye adjudicación, venta, arrendamiento ni derecho real de uso; regula únicamente las relaciones internas descritas, conforme a su contenido efectivo.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Uso y acceso.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uso permitido será </w:t>
      </w:r>
      <w:r>
        <w:rPr>
          <w:rFonts w:ascii="Arial" w:hAnsi="Arial"/>
          <w:b/>
          <w:color w:val="397CDD"/>
          <w:sz w:val="20"/>
          <w:shd w:fill="E8F0FB"/>
        </w:rPr>
        <w:t>[FINALIDAD]</w:t>
      </w:r>
      <w:r>
        <w:rPr>
          <w:rFonts w:ascii="Arial" w:hAnsi="Arial"/>
          <w:color w:val="263A43"/>
          <w:sz w:val="20"/>
        </w:rPr>
        <w:t xml:space="preserve"> y se distribuirá mediante </w:t>
      </w:r>
      <w:r>
        <w:rPr>
          <w:rFonts w:ascii="Arial" w:hAnsi="Arial"/>
          <w:b/>
          <w:color w:val="397CDD"/>
          <w:sz w:val="20"/>
          <w:shd w:fill="E8F0FB"/>
        </w:rPr>
        <w:t>[CALENDARIO, TURNOS O SISTEMA CONCRETO]</w:t>
      </w:r>
      <w:r>
        <w:rPr>
          <w:rFonts w:ascii="Arial" w:hAnsi="Arial"/>
          <w:color w:val="263A43"/>
          <w:sz w:val="20"/>
        </w:rPr>
        <w:t xml:space="preserve">. Personas autorizadas para ese uso: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 No se permite cederlo, subarrendarlo ni destinarlo a actividad económica sin un acuerdo nuevo y la revisión legal correspondiente.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entregan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juegos de llaves a </w:t>
      </w:r>
      <w:r>
        <w:rPr>
          <w:rFonts w:ascii="Arial" w:hAnsi="Arial"/>
          <w:b/>
          <w:color w:val="397CDD"/>
          <w:sz w:val="20"/>
          <w:shd w:fill="E8F0FB"/>
        </w:rPr>
        <w:t>[PERSONAS]</w:t>
      </w:r>
      <w:r>
        <w:rPr>
          <w:rFonts w:ascii="Arial" w:hAnsi="Arial"/>
          <w:color w:val="263A43"/>
          <w:sz w:val="20"/>
        </w:rPr>
        <w:t xml:space="preserve">, dejando constancia en </w:t>
      </w:r>
      <w:r>
        <w:rPr>
          <w:rFonts w:ascii="Arial" w:hAnsi="Arial"/>
          <w:b/>
          <w:color w:val="397CDD"/>
          <w:sz w:val="20"/>
          <w:shd w:fill="E8F0FB"/>
        </w:rPr>
        <w:t>[ANEXO]</w:t>
      </w:r>
      <w:r>
        <w:rPr>
          <w:rFonts w:ascii="Arial" w:hAnsi="Arial"/>
          <w:color w:val="263A43"/>
          <w:sz w:val="20"/>
        </w:rPr>
        <w:t xml:space="preserve">. Las visitas para inspección o reparación se coordinarán por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 con </w:t>
      </w:r>
      <w:r>
        <w:rPr>
          <w:rFonts w:ascii="Arial" w:hAnsi="Arial"/>
          <w:b/>
          <w:color w:val="397CDD"/>
          <w:sz w:val="20"/>
          <w:shd w:fill="E8F0FB"/>
        </w:rPr>
        <w:t>[ANTELACIÓN PACTADA]</w:t>
      </w:r>
      <w:r>
        <w:rPr>
          <w:rFonts w:ascii="Arial" w:hAnsi="Arial"/>
          <w:color w:val="263A43"/>
          <w:sz w:val="20"/>
        </w:rPr>
        <w:t>, respetando la intimidad y los derechos de ocupantes. Ninguna cláusula autoriza entradas forzosas.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Suministros y gastos ordinarios.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Los consumos individualizables serán asumidos por </w:t>
      </w:r>
      <w:r>
        <w:rPr>
          <w:rFonts w:ascii="Arial" w:hAnsi="Arial"/>
          <w:b/>
          <w:color w:val="397CDD"/>
          <w:sz w:val="20"/>
          <w:shd w:fill="E8F0FB"/>
        </w:rPr>
        <w:t>[PERSONA/CRITERIO MEDIBLE]</w:t>
      </w:r>
      <w:r>
        <w:rPr>
          <w:rFonts w:ascii="Arial" w:hAnsi="Arial"/>
          <w:color w:val="263A43"/>
          <w:sz w:val="20"/>
        </w:rPr>
        <w:t xml:space="preserve">. Los gastos comunes de conservación, comunidad, seguro y tributos que procedan se distribuirán internamente así: </w:t>
      </w:r>
      <w:r>
        <w:rPr>
          <w:rFonts w:ascii="Arial" w:hAnsi="Arial"/>
          <w:b/>
          <w:color w:val="397CDD"/>
          <w:sz w:val="20"/>
          <w:shd w:fill="E8F0FB"/>
        </w:rPr>
        <w:t>[CONCEPTO Y PORCENTAJES QUE SUMEN 100]</w:t>
      </w:r>
      <w:r>
        <w:rPr>
          <w:rFonts w:ascii="Arial" w:hAnsi="Arial"/>
          <w:color w:val="263A43"/>
          <w:sz w:val="20"/>
        </w:rPr>
        <w:t>. No se modifica la obligación frente a terceros ni la cuota sucesoria.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Presupuesto y reparaciones.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Presupuesto ordinario autorizado: </w:t>
      </w:r>
      <w:r>
        <w:rPr>
          <w:rFonts w:ascii="Arial" w:hAnsi="Arial"/>
          <w:b/>
          <w:color w:val="397CDD"/>
          <w:sz w:val="20"/>
          <w:shd w:fill="E8F0FB"/>
        </w:rPr>
        <w:t>[IMPORTE, CONCEPTOS Y PERIODO]</w:t>
      </w:r>
      <w:r>
        <w:rPr>
          <w:rFonts w:ascii="Arial" w:hAnsi="Arial"/>
          <w:color w:val="263A43"/>
          <w:sz w:val="20"/>
        </w:rPr>
        <w:t xml:space="preserve">. Responsable de coordinación, sin poder general de disposición: </w:t>
      </w:r>
      <w:r>
        <w:rPr>
          <w:rFonts w:ascii="Arial" w:hAnsi="Arial"/>
          <w:b/>
          <w:color w:val="397CDD"/>
          <w:sz w:val="20"/>
          <w:shd w:fill="E8F0FB"/>
        </w:rPr>
        <w:t>[PERSONA]</w:t>
      </w:r>
      <w:r>
        <w:rPr>
          <w:rFonts w:ascii="Arial" w:hAnsi="Arial"/>
          <w:color w:val="263A43"/>
          <w:sz w:val="20"/>
        </w:rPr>
        <w:t>. Los gastos extraordinarios requerirán acuerdo escrito de todos los firmantes, salvo las actuaciones mínimas urgentes necesarias para evitar un daño inminente.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una urgencia se avisará de inmediato por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>, se documentará el riesgo y se conservarán presupuesto y factura. La rendición posterior y procedencia del gasto podrán revisarse; no existe autorización genérica para mejoras u obras de alteración.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Justificantes y seguimiento.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Los pagos se justificarán mediante </w:t>
      </w:r>
      <w:r>
        <w:rPr>
          <w:rFonts w:ascii="Arial" w:hAnsi="Arial"/>
          <w:b/>
          <w:color w:val="397CDD"/>
          <w:sz w:val="20"/>
          <w:shd w:fill="E8F0FB"/>
        </w:rPr>
        <w:t>[FACTURAS Y COMPROBANTES]</w:t>
      </w:r>
      <w:r>
        <w:rPr>
          <w:rFonts w:ascii="Arial" w:hAnsi="Arial"/>
          <w:color w:val="263A43"/>
          <w:sz w:val="20"/>
        </w:rPr>
        <w:t xml:space="preserve">, con resumen cada </w:t>
      </w:r>
      <w:r>
        <w:rPr>
          <w:rFonts w:ascii="Arial" w:hAnsi="Arial"/>
          <w:b/>
          <w:color w:val="397CDD"/>
          <w:sz w:val="20"/>
          <w:shd w:fill="E8F0FB"/>
        </w:rPr>
        <w:t>[PERIODO]</w:t>
      </w:r>
      <w:r>
        <w:rPr>
          <w:rFonts w:ascii="Arial" w:hAnsi="Arial"/>
          <w:color w:val="263A43"/>
          <w:sz w:val="20"/>
        </w:rPr>
        <w:t xml:space="preserve"> y acceso de todos a </w:t>
      </w:r>
      <w:r>
        <w:rPr>
          <w:rFonts w:ascii="Arial" w:hAnsi="Arial"/>
          <w:b/>
          <w:color w:val="397CDD"/>
          <w:sz w:val="20"/>
          <w:shd w:fill="E8F0FB"/>
        </w:rPr>
        <w:t>[CANAL SEGURO]</w:t>
      </w:r>
      <w:r>
        <w:rPr>
          <w:rFonts w:ascii="Arial" w:hAnsi="Arial"/>
          <w:color w:val="263A43"/>
          <w:sz w:val="20"/>
        </w:rPr>
        <w:t>. No se autoriza retirar fondos del causante ni abrir o disponer de cuentas hereditarias mediante esta cláusula.</w:t>
      </w:r>
    </w:p>
    <w:p>
      <w:pPr>
        <w:jc w:val="both"/>
      </w:pPr>
      <w:r>
        <w:rPr>
          <w:rFonts w:ascii="Arial" w:hAnsi="Arial"/>
          <w:color w:val="263A43"/>
          <w:sz w:val="20"/>
        </w:rPr>
        <w:t>Sexto. Estado del inmueble y límites.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 incorpora inventario y reportaje de estado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 No se podrán vender bienes, retirar objetos inventariados, cambiar cerraduras excluyendo a otros, hipotecar o modificar elementos comunes sin título y autorización suficientes.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>Séptimo. Incidencias y finalización.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Las incidencias se comunicarán por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. Se propone revisarlas dentro de </w:t>
      </w:r>
      <w:r>
        <w:rPr>
          <w:rFonts w:ascii="Arial" w:hAnsi="Arial"/>
          <w:b/>
          <w:color w:val="397CDD"/>
          <w:sz w:val="20"/>
          <w:shd w:fill="E8F0FB"/>
        </w:rPr>
        <w:t>[PLAZO PACTADO]</w:t>
      </w:r>
      <w:r>
        <w:rPr>
          <w:rFonts w:ascii="Arial" w:hAnsi="Arial"/>
          <w:color w:val="263A43"/>
          <w:sz w:val="20"/>
        </w:rPr>
        <w:t>, sin impedir medidas urgentes o acciones legales. No se resolverán por expulsión, coacción o corte de suministros.</w:t>
      </w:r>
    </w:p>
    <w:p>
      <w:pPr>
        <w:jc w:val="both"/>
      </w:pPr>
      <w:r>
        <w:rPr>
          <w:rFonts w:ascii="Arial" w:hAnsi="Arial"/>
          <w:color w:val="263A43"/>
          <w:sz w:val="20"/>
        </w:rPr>
        <w:t>Al finalizar, se documentarán llaves, estado y gastos pendientes de manera compatible con la posesión y los derechos legítimos de cada persona. Cualquier controversia sobre recuperación posesoria se resolverá por acuerdo válido o por el cauce legal, no por fuerza propia.</w:t>
      </w:r>
    </w:p>
    <w:p>
      <w:pPr>
        <w:jc w:val="both"/>
      </w:pPr>
      <w:r>
        <w:rPr>
          <w:rFonts w:ascii="Arial" w:hAnsi="Arial"/>
          <w:color w:val="263A43"/>
          <w:sz w:val="20"/>
        </w:rPr>
        <w:t>Octavo. Reserva de la partición y terceros.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acuerdo no contiene reparto, compensación particional ni renuncia a derechos sucesorios. Tampoco altera resoluciones judiciales, derechos de terceros o responsabilidades frente a acreedores. Las partes reconocen que sus actos efectivos deben ajustarse a estos límites.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[TÍTULOS Y ACREDITACIONES, CALENDARIO, PRESUPUESTO E INVENTARIO DE ESTADO Y LLAVES]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Firmas de todos los intervinientes, tras completar y revisar el acuerdo: </w:t>
      </w:r>
      <w:r>
        <w:rPr>
          <w:rFonts w:ascii="Arial" w:hAnsi="Arial"/>
          <w:b/>
          <w:color w:val="397CDD"/>
          <w:sz w:val="20"/>
          <w:shd w:fill="E8F0FB"/>
        </w:rPr>
        <w:t>[NOMBRES Y FIRMAS]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Acuerdo limitado para organizar de forma consensuada el uso, los gastos y la conservación de un inmueble pendiente de partición.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Use esta versión solo cuando la aceptación previa y la legitimación estén comprobadas, intervengan todos los titulares de derechos afectados y no haya conflicto de representación. Su firma es un acuerdo real; no es una forma de conservar el derecho a renunciar si los actos ya implican aceptación.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Prevenir conflictos cotidianos mediante reglas temporales de acceso, suministros, mantenimiento, rendición de gastos y revisión del acuerdo.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adjudica el inmueble, no sustituye una partición, no elimina derechos de arrendatarios o usufructuarios ni autoriza desalojos por cuenta propia.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Verifique título sucesorio, aceptación ya producida, derechos sobre el inmueble, ocupantes y facultades de administración. Si la herencia no está aceptada o existen deudas inciertas, no firme este modelo sin abogado.</w:t>
      </w:r>
    </w:p>
    <w:p>
      <w:r>
        <w:rPr>
          <w:rFonts w:ascii="Arial" w:hAnsi="Arial"/>
          <w:color w:val="263A43"/>
          <w:sz w:val="20"/>
        </w:rPr>
        <w:t>2. La versión presupone acuerdo de todas las personas afectadas, mayores de edad y con actuación válida. Si hay menores, apoyos, conflictos de intereses, usufructos no conformes u órdenes judiciales, adapte profesionalmente.</w:t>
      </w:r>
    </w:p>
    <w:p>
      <w:r>
        <w:rPr>
          <w:rFonts w:ascii="Arial" w:hAnsi="Arial"/>
          <w:color w:val="263A43"/>
          <w:sz w:val="20"/>
        </w:rPr>
        <w:t>3. Complete una duración determinada, calendario de uso y reparto de gastos. Esta versión prevé uso sin renta; cualquier renta, cesión estable o explotación debe revisarse como negocio distinto, también fiscalmente.</w:t>
      </w:r>
    </w:p>
    <w:p>
      <w:r>
        <w:rPr>
          <w:rFonts w:ascii="Arial" w:hAnsi="Arial"/>
          <w:color w:val="263A43"/>
          <w:sz w:val="20"/>
        </w:rPr>
        <w:t>4. Fije presupuesto y aprobación de gastos extraordinarios, justificantes y respuesta a urgencias reales. Las cuotas de gastos pactadas solo rigen internamente y no alteran la titularidad ni vinculan por sí solas a acreedores.</w:t>
      </w:r>
    </w:p>
    <w:p>
      <w:r>
        <w:rPr>
          <w:rFonts w:ascii="Arial" w:hAnsi="Arial"/>
          <w:color w:val="263A43"/>
          <w:sz w:val="20"/>
        </w:rPr>
        <w:t>5. No altere cerraduras, expulse ocupantes ni suspenda suministros para resolver un incumplimiento. Acuda a asesoramiento y, si procede, a la vía legal.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Título sucesorio, acreditación de aceptación y facultades de cada firmante.</w:t>
      </w:r>
    </w:p>
    <w:p>
      <w:r>
        <w:rPr>
          <w:rFonts w:ascii="Arial" w:hAnsi="Arial"/>
          <w:color w:val="263A43"/>
          <w:sz w:val="20"/>
        </w:rPr>
        <w:t>2. Escritura o título, nota registral y datos catastrales.</w:t>
      </w:r>
    </w:p>
    <w:p>
      <w:r>
        <w:rPr>
          <w:rFonts w:ascii="Arial" w:hAnsi="Arial"/>
          <w:color w:val="263A43"/>
          <w:sz w:val="20"/>
        </w:rPr>
        <w:t>3. Arrendamientos, usufructos, ocupación y resoluciones que afecten al uso.</w:t>
      </w:r>
    </w:p>
    <w:p>
      <w:r>
        <w:rPr>
          <w:rFonts w:ascii="Arial" w:hAnsi="Arial"/>
          <w:color w:val="263A43"/>
          <w:sz w:val="20"/>
        </w:rPr>
        <w:t>4. Recibos, seguro, estado del inmueble, inventario de llaves y presupuesto.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Firmar sin todos los titulares de derechos afectados o ignorar un usufructo.</w:t>
      </w:r>
    </w:p>
    <w:p>
      <w:r>
        <w:rPr>
          <w:rFonts w:ascii="Arial" w:hAnsi="Arial"/>
          <w:color w:val="263A43"/>
          <w:sz w:val="20"/>
        </w:rPr>
        <w:t>2. Usar porcentajes de gastos como adjudicación definitiva de propiedad.</w:t>
      </w:r>
    </w:p>
    <w:p>
      <w:r>
        <w:rPr>
          <w:rFonts w:ascii="Arial" w:hAnsi="Arial"/>
          <w:color w:val="263A43"/>
          <w:sz w:val="20"/>
        </w:rPr>
        <w:t>3. Convertir el acuerdo temporal en arrendamiento no revisado mediante pagos periódicos por ocupar.</w:t>
      </w:r>
    </w:p>
    <w:p>
      <w:r>
        <w:rPr>
          <w:rFonts w:ascii="Arial" w:hAnsi="Arial"/>
          <w:color w:val="263A43"/>
          <w:sz w:val="20"/>
        </w:rPr>
        <w:t>4. Autorizar obras, venta, hipoteca o disposición de cuentas con una cláusula genérica.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antes de firmar cuando existan dudas sobre aceptación, administración, representación, uso exclusivo o compensaciones. Notario si se pretende constituir derechos reales o formalizar actos públicos; este acuerdo temporal no los sustituye. Procurador cuando se utilice un procedimiento que lo exija.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La vigencia y el aviso de revisión se pactan expresamente; no se impone un plazo legal ficticio. Un acuerdo de uso no pospone la fiscalidad de la sucesión ni concede derecho indefinido a ocupar. 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Código Civil — https://www.boe.es/buscar/act.php?id=BOE-A-1889-4763 — BOE. Arts. 9.8, 14 y 16: ley sucesoria y vecindad civil; arts. 999, 1003, 1008 y 1011-1018: aceptación, responsabilidad, repudiación e inventario. Verificación: 2026-09-13.</w:t>
      </w:r>
    </w:p>
    <w:p>
      <w:r>
        <w:rPr>
          <w:rFonts w:ascii="Arial" w:hAnsi="Arial"/>
          <w:color w:val="263A43"/>
          <w:sz w:val="20"/>
        </w:rPr>
        <w:t>2. Código Civil — https://www.boe.es/buscar/act.php?id=BOE-A-1889-4763 — BOE. Arts. 394-398: uso, gastos, alteraciones y administración como marco de comunidad, sujeto a las especialidades hereditarias; arts. 1051 y 1255-1258: partición y acuerdos. Verificación: 2026-09-13.</w:t>
      </w:r>
    </w:p>
    <w:p>
      <w:r>
        <w:rPr>
          <w:rFonts w:ascii="Arial" w:hAnsi="Arial"/>
          <w:color w:val="263A43"/>
          <w:sz w:val="20"/>
        </w:rPr>
        <w:t>3. Reglamento (UE) 650/2012, sucesiones internacionales — https://eur-lex.europa.eu/legal-content/ES/TXT/?uri=CELEX:32012R0650 — EUR-Lex, Unión Europea. Arts. 20-23 y 36: ley sucesoria. Verificación: 2026-09-13.</w:t>
      </w:r>
    </w:p>
    <w:p>
      <w:r>
        <w:rPr>
          <w:rFonts w:ascii="Arial" w:hAnsi="Arial"/>
          <w:color w:val="263A43"/>
          <w:sz w:val="20"/>
        </w:rPr>
        <w:t>4. Real Decreto 1629/1991, Reglamento del Impuesto sobre Sucesiones y Donaciones — https://www.boe.es/buscar/act.php?id=BOE-A-1991-27678 — BOE. Arts. 67-68: plazos generales.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