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FAMILIA Y ACUERDOS PRIVADOS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Acuerdo de ruptura de pareja de hecho con hijos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Borrador de medidas parentales y económicas para progenitores no casados.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Juzgado competente para aprobación de medidas.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Reunidos</w:t>
      </w:r>
    </w:p>
    <w:p>
      <w:pPr>
        <w:jc w:val="both"/>
      </w:pPr>
      <w:r>
        <w:rPr>
          <w:rFonts w:ascii="Arial" w:hAnsi="Arial"/>
        </w:rPr>
        <w:t xml:space="preserve">De una parte, </w:t>
      </w:r>
      <w:r>
        <w:rPr>
          <w:rFonts w:ascii="Arial" w:hAnsi="Arial"/>
          <w:b/>
          <w:color w:val="397CDD"/>
          <w:shd w:fill="E5EFFC"/>
        </w:rPr>
        <w:t>{{PROGENITOR_A}}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{{DNI_A}}</w:t>
      </w:r>
      <w:r>
        <w:rPr>
          <w:rFonts w:ascii="Arial" w:hAnsi="Arial"/>
        </w:rPr>
        <w:t xml:space="preserve"> y domicilio en </w:t>
      </w:r>
      <w:r>
        <w:rPr>
          <w:rFonts w:ascii="Arial" w:hAnsi="Arial"/>
          <w:b/>
          <w:color w:val="397CDD"/>
          <w:shd w:fill="E5EFFC"/>
        </w:rPr>
        <w:t>{{DOMICILIO_A}}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De otra parte, </w:t>
      </w:r>
      <w:r>
        <w:rPr>
          <w:rFonts w:ascii="Arial" w:hAnsi="Arial"/>
          <w:b/>
          <w:color w:val="397CDD"/>
          <w:shd w:fill="E5EFFC"/>
        </w:rPr>
        <w:t>{{PROGENITOR_B}}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{{DNI_B}}</w:t>
      </w:r>
      <w:r>
        <w:rPr>
          <w:rFonts w:ascii="Arial" w:hAnsi="Arial"/>
        </w:rPr>
        <w:t xml:space="preserve"> y domicilio en </w:t>
      </w:r>
      <w:r>
        <w:rPr>
          <w:rFonts w:ascii="Arial" w:hAnsi="Arial"/>
          <w:b/>
          <w:color w:val="397CDD"/>
          <w:shd w:fill="E5EFFC"/>
        </w:rPr>
        <w:t>{{DOMICILIO_B}}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>Ambas partes reconocen capacidad suficiente para suscribir esta propuesta y manifiestan su voluntad de regular de común acuerdo los efectos de su ruptura.</w:t>
      </w:r>
    </w:p>
    <w:p>
      <w:pPr>
        <w:pStyle w:val="Heading2"/>
      </w:pPr>
      <w:r>
        <w:t>Antecedentes</w:t>
      </w:r>
    </w:p>
    <w:p>
      <w:pPr>
        <w:jc w:val="both"/>
      </w:pPr>
      <w:r>
        <w:rPr>
          <w:rFonts w:ascii="Arial" w:hAnsi="Arial"/>
        </w:rPr>
        <w:t xml:space="preserve">La relación o matrimonio se inició el </w:t>
      </w:r>
      <w:r>
        <w:rPr>
          <w:rFonts w:ascii="Arial" w:hAnsi="Arial"/>
          <w:b/>
          <w:color w:val="397CDD"/>
          <w:shd w:fill="E5EFFC"/>
        </w:rPr>
        <w:t>{{FECHA_INICIO}}</w:t>
      </w:r>
      <w:r>
        <w:rPr>
          <w:rFonts w:ascii="Arial" w:hAnsi="Arial"/>
        </w:rPr>
        <w:t xml:space="preserve">. Los hijos comunes son </w:t>
      </w:r>
      <w:r>
        <w:rPr>
          <w:rFonts w:ascii="Arial" w:hAnsi="Arial"/>
          <w:b/>
          <w:color w:val="397CDD"/>
          <w:shd w:fill="E5EFFC"/>
        </w:rPr>
        <w:t>{{HIJOS_Y_FECHAS_NACIMIENTO}}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El último domicilio familiar se encuentra en </w:t>
      </w:r>
      <w:r>
        <w:rPr>
          <w:rFonts w:ascii="Arial" w:hAnsi="Arial"/>
          <w:b/>
          <w:color w:val="397CDD"/>
          <w:shd w:fill="E5EFFC"/>
        </w:rPr>
        <w:t>{{DOMICILIO_FAMILIAR}}</w:t>
      </w:r>
      <w:r>
        <w:rPr>
          <w:rFonts w:ascii="Arial" w:hAnsi="Arial"/>
        </w:rPr>
        <w:t xml:space="preserve">. El régimen económico matrimonial, cuando exista, es </w:t>
      </w:r>
      <w:r>
        <w:rPr>
          <w:rFonts w:ascii="Arial" w:hAnsi="Arial"/>
          <w:b/>
          <w:color w:val="397CDD"/>
          <w:shd w:fill="E5EFFC"/>
        </w:rPr>
        <w:t>{{REGIMEN_ECONOMICO}}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>Las partes declaran que la información económica y familiar utilizada para este acuerdo es completa y actual.</w:t>
      </w:r>
    </w:p>
    <w:p>
      <w:pPr>
        <w:pStyle w:val="Heading2"/>
      </w:pPr>
      <w:r>
        <w:t>Responsabilidad parental</w:t>
      </w:r>
    </w:p>
    <w:p>
      <w:pPr>
        <w:jc w:val="both"/>
      </w:pPr>
      <w:r>
        <w:rPr>
          <w:rFonts w:ascii="Arial" w:hAnsi="Arial"/>
        </w:rPr>
        <w:t xml:space="preserve">Las decisiones relevantes sobre los hijos se adoptarán conjuntamente por </w:t>
      </w:r>
      <w:r>
        <w:rPr>
          <w:rFonts w:ascii="Arial" w:hAnsi="Arial"/>
          <w:b/>
          <w:color w:val="397CDD"/>
          <w:shd w:fill="E5EFFC"/>
        </w:rPr>
        <w:t>{{CANAL_DECISIONES}}</w:t>
      </w:r>
      <w:r>
        <w:rPr>
          <w:rFonts w:ascii="Arial" w:hAnsi="Arial"/>
        </w:rPr>
        <w:t>.</w:t>
      </w:r>
    </w:p>
    <w:p>
      <w:pPr>
        <w:pStyle w:val="Heading2"/>
      </w:pPr>
      <w:r>
        <w:t>Guarda y estancias</w:t>
      </w:r>
    </w:p>
    <w:p>
      <w:pPr>
        <w:jc w:val="both"/>
      </w:pPr>
      <w:r>
        <w:rPr>
          <w:rFonts w:ascii="Arial" w:hAnsi="Arial"/>
        </w:rPr>
        <w:t xml:space="preserve">La modalidad de guarda será </w:t>
      </w:r>
      <w:r>
        <w:rPr>
          <w:rFonts w:ascii="Arial" w:hAnsi="Arial"/>
          <w:b/>
          <w:color w:val="397CDD"/>
          <w:shd w:fill="E5EFFC"/>
        </w:rPr>
        <w:t>{{TIPO_GUARDA}}</w:t>
      </w:r>
      <w:r>
        <w:rPr>
          <w:rFonts w:ascii="Arial" w:hAnsi="Arial"/>
        </w:rPr>
        <w:t xml:space="preserve"> y se desarrollará mediante </w:t>
      </w:r>
      <w:r>
        <w:rPr>
          <w:rFonts w:ascii="Arial" w:hAnsi="Arial"/>
          <w:b/>
          <w:color w:val="397CDD"/>
          <w:shd w:fill="E5EFFC"/>
        </w:rPr>
        <w:t>{{CALENDARIO}}</w:t>
      </w:r>
      <w:r>
        <w:rPr>
          <w:rFonts w:ascii="Arial" w:hAnsi="Arial"/>
        </w:rPr>
        <w:t>.</w:t>
      </w:r>
    </w:p>
    <w:p>
      <w:pPr>
        <w:pStyle w:val="Heading2"/>
      </w:pPr>
      <w:r>
        <w:t>Alimentos y gastos</w:t>
      </w:r>
    </w:p>
    <w:p>
      <w:pPr>
        <w:jc w:val="both"/>
      </w:pPr>
      <w:r>
        <w:rPr>
          <w:rFonts w:ascii="Arial" w:hAnsi="Arial"/>
        </w:rPr>
        <w:t xml:space="preserve">La contribución mensual será </w:t>
      </w:r>
      <w:r>
        <w:rPr>
          <w:rFonts w:ascii="Arial" w:hAnsi="Arial"/>
          <w:b/>
          <w:color w:val="397CDD"/>
          <w:shd w:fill="E5EFFC"/>
        </w:rPr>
        <w:t>{{CONTRIBUCION}}</w:t>
      </w:r>
      <w:r>
        <w:rPr>
          <w:rFonts w:ascii="Arial" w:hAnsi="Arial"/>
        </w:rPr>
        <w:t xml:space="preserve"> y los gastos extraordinarios se distribuirán </w:t>
      </w:r>
      <w:r>
        <w:rPr>
          <w:rFonts w:ascii="Arial" w:hAnsi="Arial"/>
          <w:b/>
          <w:color w:val="397CDD"/>
          <w:shd w:fill="E5EFFC"/>
        </w:rPr>
        <w:t>{{REPARTO_EXTRAORDINARIOS}}</w:t>
      </w:r>
      <w:r>
        <w:rPr>
          <w:rFonts w:ascii="Arial" w:hAnsi="Arial"/>
        </w:rPr>
        <w:t>.</w:t>
      </w:r>
    </w:p>
    <w:p>
      <w:pPr>
        <w:pStyle w:val="Heading2"/>
      </w:pPr>
      <w:r>
        <w:t>Vivienda y pertenencias</w:t>
      </w:r>
    </w:p>
    <w:p>
      <w:pPr>
        <w:jc w:val="both"/>
      </w:pPr>
      <w:r>
        <w:rPr>
          <w:rFonts w:ascii="Arial" w:hAnsi="Arial"/>
        </w:rPr>
        <w:t xml:space="preserve">El uso temporal de la vivienda se organiza conforme a </w:t>
      </w:r>
      <w:r>
        <w:rPr>
          <w:rFonts w:ascii="Arial" w:hAnsi="Arial"/>
          <w:b/>
          <w:color w:val="397CDD"/>
          <w:shd w:fill="E5EFFC"/>
        </w:rPr>
        <w:t>{{USO_VIVIENDA}}</w:t>
      </w:r>
      <w:r>
        <w:rPr>
          <w:rFonts w:ascii="Arial" w:hAnsi="Arial"/>
        </w:rPr>
        <w:t>. Las pertenencias se entregarán según inventario firmado.</w:t>
      </w:r>
    </w:p>
    <w:p>
      <w:pPr>
        <w:pStyle w:val="Heading2"/>
      </w:pPr>
      <w:r>
        <w:t>Aprobación</w:t>
      </w:r>
    </w:p>
    <w:p>
      <w:pPr>
        <w:jc w:val="both"/>
      </w:pPr>
      <w:r>
        <w:rPr>
          <w:rFonts w:ascii="Arial" w:hAnsi="Arial"/>
        </w:rPr>
        <w:t>Las partes conocen que los acuerdos que afecten a hijos menores deben someterse al control judicial correspondiente.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Certificados de nacimiento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Empadronamiento y escolarización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Ingresos y gastos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Calendario de estancias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Titularidad de vivienda o alquiler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condición de pareja de hecho no equivale automáticamente al régimen matrimonial.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Las medidas sobre menores requieren control judicial.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Las reglas autonómicas pueden afectar a aspectos patrimoniales de la pareja.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Código Civil, arts. 90 a 94</w:t>
      </w:r>
      <w:r>
        <w:t xml:space="preserve"> — https://www.boe.es/buscar/act.php?id=BOE-A-1889-4763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