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FAMILIA Y ACUERDOS PRIVADOS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Acuerdo sobre gastos extraordinarios de los hijos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Anexo para definir qué gastos necesitan consentimiento, cómo se justifican y cuándo se reembolsan.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Progenitores.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Gastos necesarios</w:t>
      </w:r>
    </w:p>
    <w:p>
      <w:pPr>
        <w:jc w:val="both"/>
      </w:pPr>
      <w:r>
        <w:rPr>
          <w:rFonts w:ascii="Arial" w:hAnsi="Arial"/>
        </w:rPr>
        <w:t xml:space="preserve">Se consideran necesarios y no requieren consentimiento previo en caso de urgencia: </w:t>
      </w:r>
      <w:r>
        <w:rPr>
          <w:rFonts w:ascii="Arial" w:hAnsi="Arial"/>
          <w:b/>
          <w:color w:val="397CDD"/>
          <w:shd w:fill="E5EFFC"/>
        </w:rPr>
        <w:t>{{GASTOS_NECESARIOS}}</w:t>
      </w:r>
      <w:r>
        <w:rPr>
          <w:rFonts w:ascii="Arial" w:hAnsi="Arial"/>
        </w:rPr>
        <w:t xml:space="preserve">. Se comunicarán dentro de </w:t>
      </w:r>
      <w:r>
        <w:rPr>
          <w:rFonts w:ascii="Arial" w:hAnsi="Arial"/>
          <w:b/>
          <w:color w:val="397CDD"/>
          <w:shd w:fill="E5EFFC"/>
        </w:rPr>
        <w:t>{{PLAZO_COMUNICACION}}</w:t>
      </w:r>
      <w:r>
        <w:rPr>
          <w:rFonts w:ascii="Arial" w:hAnsi="Arial"/>
        </w:rPr>
        <w:t xml:space="preserve"> con justificante.</w:t>
      </w:r>
    </w:p>
    <w:p>
      <w:pPr>
        <w:pStyle w:val="Heading2"/>
      </w:pPr>
      <w:r>
        <w:t>Gastos previsibles</w:t>
      </w:r>
    </w:p>
    <w:p>
      <w:pPr>
        <w:jc w:val="both"/>
      </w:pPr>
      <w:r>
        <w:rPr>
          <w:rFonts w:ascii="Arial" w:hAnsi="Arial"/>
        </w:rPr>
        <w:t xml:space="preserve">Necesitan comunicación y respuesta previa: </w:t>
      </w:r>
      <w:r>
        <w:rPr>
          <w:rFonts w:ascii="Arial" w:hAnsi="Arial"/>
          <w:b/>
          <w:color w:val="397CDD"/>
          <w:shd w:fill="E5EFFC"/>
        </w:rPr>
        <w:t>{{GASTOS_PREVISIBLES}}</w:t>
      </w:r>
      <w:r>
        <w:rPr>
          <w:rFonts w:ascii="Arial" w:hAnsi="Arial"/>
        </w:rPr>
        <w:t xml:space="preserve">. La falta de respuesta en </w:t>
      </w:r>
      <w:r>
        <w:rPr>
          <w:rFonts w:ascii="Arial" w:hAnsi="Arial"/>
          <w:b/>
          <w:color w:val="397CDD"/>
          <w:shd w:fill="E5EFFC"/>
        </w:rPr>
        <w:t>{{PLAZO_RESPUESTA}}</w:t>
      </w:r>
      <w:r>
        <w:rPr>
          <w:rFonts w:ascii="Arial" w:hAnsi="Arial"/>
        </w:rPr>
        <w:t xml:space="preserve"> tendrá el efecto de </w:t>
      </w:r>
      <w:r>
        <w:rPr>
          <w:rFonts w:ascii="Arial" w:hAnsi="Arial"/>
          <w:b/>
          <w:color w:val="397CDD"/>
          <w:shd w:fill="E5EFFC"/>
        </w:rPr>
        <w:t>{{EFECTO_SILENCIO}}</w:t>
      </w:r>
      <w:r>
        <w:rPr>
          <w:rFonts w:ascii="Arial" w:hAnsi="Arial"/>
        </w:rPr>
        <w:t>.</w:t>
      </w:r>
    </w:p>
    <w:p>
      <w:pPr>
        <w:pStyle w:val="Heading2"/>
      </w:pPr>
      <w:r>
        <w:t>Gastos voluntarios</w:t>
      </w:r>
    </w:p>
    <w:p>
      <w:pPr>
        <w:jc w:val="both"/>
      </w:pPr>
      <w:r>
        <w:rPr>
          <w:rFonts w:ascii="Arial" w:hAnsi="Arial"/>
        </w:rPr>
        <w:t xml:space="preserve">Actividades, dispositivos, viajes y otros gastos voluntarios solo obligarán a quien consienta expresamente, salvo pacto distinto: </w:t>
      </w:r>
      <w:r>
        <w:rPr>
          <w:rFonts w:ascii="Arial" w:hAnsi="Arial"/>
          <w:b/>
          <w:color w:val="397CDD"/>
          <w:shd w:fill="E5EFFC"/>
        </w:rPr>
        <w:t>{{REGLA_VOLUNTARIOS}}</w:t>
      </w:r>
      <w:r>
        <w:rPr>
          <w:rFonts w:ascii="Arial" w:hAnsi="Arial"/>
        </w:rPr>
        <w:t>.</w:t>
      </w:r>
    </w:p>
    <w:p>
      <w:pPr>
        <w:pStyle w:val="Heading2"/>
      </w:pPr>
      <w:r>
        <w:t>Reparto y pago</w:t>
      </w:r>
    </w:p>
    <w:p>
      <w:pPr>
        <w:jc w:val="both"/>
      </w:pPr>
      <w:r>
        <w:rPr>
          <w:rFonts w:ascii="Arial" w:hAnsi="Arial"/>
        </w:rPr>
        <w:t xml:space="preserve">El reparto será </w:t>
      </w:r>
      <w:r>
        <w:rPr>
          <w:rFonts w:ascii="Arial" w:hAnsi="Arial"/>
          <w:b/>
          <w:color w:val="397CDD"/>
          <w:shd w:fill="E5EFFC"/>
        </w:rPr>
        <w:t>{{PORCENTAJES}}</w:t>
      </w:r>
      <w:r>
        <w:rPr>
          <w:rFonts w:ascii="Arial" w:hAnsi="Arial"/>
        </w:rPr>
        <w:t xml:space="preserve">. El reembolso se realizará en </w:t>
      </w:r>
      <w:r>
        <w:rPr>
          <w:rFonts w:ascii="Arial" w:hAnsi="Arial"/>
          <w:b/>
          <w:color w:val="397CDD"/>
          <w:shd w:fill="E5EFFC"/>
        </w:rPr>
        <w:t>{{PLAZO_REEMBOLSO}}</w:t>
      </w:r>
      <w:r>
        <w:rPr>
          <w:rFonts w:ascii="Arial" w:hAnsi="Arial"/>
        </w:rPr>
        <w:t xml:space="preserve"> mediante </w:t>
      </w:r>
      <w:r>
        <w:rPr>
          <w:rFonts w:ascii="Arial" w:hAnsi="Arial"/>
          <w:b/>
          <w:color w:val="397CDD"/>
          <w:shd w:fill="E5EFFC"/>
        </w:rPr>
        <w:t>{{MEDIO_PAGO}}</w:t>
      </w:r>
      <w:r>
        <w:rPr>
          <w:rFonts w:ascii="Arial" w:hAnsi="Arial"/>
        </w:rPr>
        <w:t>.</w:t>
      </w:r>
    </w:p>
    <w:p>
      <w:pPr>
        <w:pStyle w:val="Heading2"/>
      </w:pPr>
      <w:r>
        <w:t>Registro</w:t>
      </w:r>
    </w:p>
    <w:p>
      <w:pPr>
        <w:jc w:val="both"/>
      </w:pPr>
      <w:r>
        <w:rPr>
          <w:rFonts w:ascii="Arial" w:hAnsi="Arial"/>
        </w:rPr>
        <w:t xml:space="preserve">Las partes utilizarán </w:t>
      </w:r>
      <w:r>
        <w:rPr>
          <w:rFonts w:ascii="Arial" w:hAnsi="Arial"/>
          <w:b/>
          <w:color w:val="397CDD"/>
          <w:shd w:fill="E5EFFC"/>
        </w:rPr>
        <w:t>{{CANAL_REGISTRO}}</w:t>
      </w:r>
      <w:r>
        <w:rPr>
          <w:rFonts w:ascii="Arial" w:hAnsi="Arial"/>
        </w:rPr>
        <w:t xml:space="preserve"> para conservar solicitud, consentimiento, factura y pago.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Sentencia o convenio vigente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Ingresos actuales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Gastos previsibles anuales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Canal de comunicación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Cuenta bancaria o sistema de reembolso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Este acuerdo no modifica por sí solo una resolución judicial.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todo gasto no periódico es jurídicamente extraordinario.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Las urgencias sanitarias deben atenderse antes de discutir su reparto.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Código Civil, arts. 90, 93 y 142</w:t>
      </w:r>
      <w:r>
        <w:t xml:space="preserve"> — https://www.boe.es/buscar/act.php?id=BOE-A-1889-4763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