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SOCIEDADES</w:t>
      </w:r>
    </w:p>
    <w:p>
      <w:pPr>
        <w:pStyle w:val="Title"/>
        <w:jc w:val="center"/>
      </w:pPr>
      <w:r>
        <w:rPr>
          <w:rFonts w:ascii="Georgia" w:hAnsi="Georgia"/>
          <w:b/>
          <w:color w:val="102E3C"/>
          <w:sz w:val="42"/>
        </w:rPr>
        <w:t>Acuerdo de confidencialidad mercantil</w:t>
      </w:r>
    </w:p>
    <w:p>
      <w:pPr>
        <w:jc w:val="center"/>
      </w:pPr>
      <w:r>
        <w:rPr>
          <w:rFonts w:ascii="Arial" w:hAnsi="Arial"/>
          <w:color w:val="68777D"/>
          <w:sz w:val="20"/>
        </w:rPr>
        <w:t>Proteger información no pública intercambiada para una finalidad empresarial concreta, con excepciones y obligaciones proporcionadas.</w:t>
      </w:r>
    </w:p>
    <w:tbl>
      <w:tblPr>
        <w:tblW w:type="auto" w:w="0"/>
        <w:tblLayout w:type="autofit"/>
        <w:tblLook w:firstColumn="1" w:firstRow="1" w:lastColumn="0" w:lastRow="0" w:noHBand="0" w:noVBand="1" w:val="04A0"/>
      </w:tblPr>
      <w:tblGrid>
        <w:gridCol w:w="9547"/>
      </w:tblGrid>
      <w:tr>
        <w:tc>
          <w:tcPr>
            <w:tcW w:type="dxa" w:w="9547"/>
            <w:shd w:fill="F4EFE7"/>
          </w:tcPr>
          <w:p>
            <w:r>
              <w:rPr>
                <w:rFonts w:ascii="Arial" w:hAnsi="Arial"/>
                <w:b/>
                <w:color w:val="102E3C"/>
                <w:sz w:val="20"/>
              </w:rPr>
              <w:t>MODELO EDITABLE · GUÍA DE USO</w:t>
            </w:r>
          </w:p>
          <w:p>
            <w:r>
              <w:rPr>
                <w:rFonts w:ascii="Arial" w:hAnsi="Arial"/>
                <w:color w:val="263A43"/>
                <w:sz w:val="20"/>
              </w:rPr>
              <w:t>Pretender impedir denuncias de irregularidades, imponer no competencia oculta, revelar secretos de terceros sin legitimación o sustituir un acuerdo de datos personales.</w:t>
            </w:r>
          </w:p>
          <w:p>
            <w:r>
              <w:rPr>
                <w:rFonts w:ascii="Arial" w:hAnsi="Arial"/>
                <w:color w:val="263A43"/>
                <w:sz w:val="20"/>
              </w:rPr>
              <w:t>Completa solo datos comprobados, elimina alternativas incompatibles y conserva una copia y el justificante de presentación.</w:t>
            </w:r>
          </w:p>
        </w:tc>
      </w:tr>
    </w:tbl>
    <w:p>
      <w:pPr>
        <w:pStyle w:val="Heading1"/>
        <w:jc w:val="center"/>
      </w:pPr>
      <w:r>
        <w:t>MODELO EDITABLE</w:t>
      </w:r>
    </w:p>
    <w:p>
      <w:pPr>
        <w:pStyle w:val="Heading2"/>
      </w:pPr>
      <w:r>
        <w:t>ACUERDO DE CONFIDENCIALIDAD MERCANTIL</w:t>
      </w:r>
    </w:p>
    <w:p>
      <w:pPr>
        <w:jc w:val="both"/>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w:t>
      </w:r>
    </w:p>
    <w:p>
      <w:pPr>
        <w:pStyle w:val="Heading2"/>
      </w:pPr>
      <w:r>
        <w:t>REUNIDOS</w:t>
      </w:r>
    </w:p>
    <w:p>
      <w:pPr>
        <w:jc w:val="both"/>
      </w:pPr>
      <w:r>
        <w:rPr>
          <w:rFonts w:ascii="Arial" w:hAnsi="Arial"/>
          <w:color w:val="263A43"/>
          <w:sz w:val="20"/>
        </w:rPr>
        <w:t xml:space="preserve">Parte A: </w:t>
      </w:r>
      <w:r>
        <w:rPr>
          <w:rFonts w:ascii="Arial" w:hAnsi="Arial"/>
          <w:b/>
          <w:color w:val="397CDD"/>
          <w:sz w:val="20"/>
          <w:shd w:fill="E8F0FB"/>
        </w:rPr>
        <w:t>[DENOMINACIÓN, NIF, DOMICILIO Y REPRESENTANTE CON PODER]</w:t>
      </w:r>
      <w:r>
        <w:rPr>
          <w:rFonts w:ascii="Arial" w:hAnsi="Arial"/>
          <w:color w:val="263A43"/>
          <w:sz w:val="20"/>
        </w:rPr>
        <w:t>.</w:t>
      </w:r>
    </w:p>
    <w:p>
      <w:pPr>
        <w:jc w:val="both"/>
      </w:pPr>
      <w:r>
        <w:rPr>
          <w:rFonts w:ascii="Arial" w:hAnsi="Arial"/>
          <w:color w:val="263A43"/>
          <w:sz w:val="20"/>
        </w:rPr>
        <w:t xml:space="preserve">Parte B: </w:t>
      </w:r>
      <w:r>
        <w:rPr>
          <w:rFonts w:ascii="Arial" w:hAnsi="Arial"/>
          <w:b/>
          <w:color w:val="397CDD"/>
          <w:sz w:val="20"/>
          <w:shd w:fill="E8F0FB"/>
        </w:rPr>
        <w:t>[DENOMINACIÓN, NIF, DOMICILIO Y REPRESENTANTE CON PODER]</w:t>
      </w:r>
      <w:r>
        <w:rPr>
          <w:rFonts w:ascii="Arial" w:hAnsi="Arial"/>
          <w:color w:val="263A43"/>
          <w:sz w:val="20"/>
        </w:rPr>
        <w:t>.</w:t>
      </w:r>
    </w:p>
    <w:p>
      <w:pPr>
        <w:jc w:val="both"/>
      </w:pPr>
      <w:r>
        <w:rPr>
          <w:rFonts w:ascii="Arial" w:hAnsi="Arial"/>
          <w:color w:val="263A43"/>
          <w:sz w:val="20"/>
        </w:rPr>
        <w:t xml:space="preserve">Las partes acuerdan un régimen </w:t>
      </w:r>
      <w:r>
        <w:rPr>
          <w:rFonts w:ascii="Arial" w:hAnsi="Arial"/>
          <w:b/>
          <w:color w:val="397CDD"/>
          <w:sz w:val="20"/>
          <w:shd w:fill="E8F0FB"/>
        </w:rPr>
        <w:t>[RECÍPROCO / UNILATERAL, IDENTIFICANDO QUIÉN REVELA]</w:t>
      </w:r>
      <w:r>
        <w:rPr>
          <w:rFonts w:ascii="Arial" w:hAnsi="Arial"/>
          <w:color w:val="263A43"/>
          <w:sz w:val="20"/>
        </w:rPr>
        <w:t xml:space="preserve">, para estudiar o ejecutar </w:t>
      </w:r>
      <w:r>
        <w:rPr>
          <w:rFonts w:ascii="Arial" w:hAnsi="Arial"/>
          <w:b/>
          <w:color w:val="397CDD"/>
          <w:sz w:val="20"/>
          <w:shd w:fill="E8F0FB"/>
        </w:rPr>
        <w:t>[FINALIDAD CONCRETA]</w:t>
      </w:r>
      <w:r>
        <w:rPr>
          <w:rFonts w:ascii="Arial" w:hAnsi="Arial"/>
          <w:color w:val="263A43"/>
          <w:sz w:val="20"/>
        </w:rPr>
        <w:t>, conforme a las siguientes</w:t>
      </w:r>
    </w:p>
    <w:p>
      <w:pPr>
        <w:pStyle w:val="Heading2"/>
      </w:pPr>
      <w:r>
        <w:t>CLÁUSULAS</w:t>
      </w:r>
    </w:p>
    <w:p>
      <w:pPr>
        <w:jc w:val="both"/>
      </w:pPr>
      <w:r>
        <w:rPr>
          <w:rFonts w:ascii="Arial" w:hAnsi="Arial"/>
          <w:color w:val="263A43"/>
          <w:sz w:val="20"/>
        </w:rPr>
        <w:t xml:space="preserve">Primera. Información protegida. Se considera confidencial la información no pública lícitamente comunicada para la finalidad anterior relativa a </w:t>
      </w:r>
      <w:r>
        <w:rPr>
          <w:rFonts w:ascii="Arial" w:hAnsi="Arial"/>
          <w:b/>
          <w:color w:val="397CDD"/>
          <w:sz w:val="20"/>
          <w:shd w:fill="E8F0FB"/>
        </w:rPr>
        <w:t>[CATEGORÍAS Y PROYECTO]</w:t>
      </w:r>
      <w:r>
        <w:rPr>
          <w:rFonts w:ascii="Arial" w:hAnsi="Arial"/>
          <w:color w:val="263A43"/>
          <w:sz w:val="20"/>
        </w:rPr>
        <w:t xml:space="preserve">, en soporte </w:t>
      </w:r>
      <w:r>
        <w:rPr>
          <w:rFonts w:ascii="Arial" w:hAnsi="Arial"/>
          <w:b/>
          <w:color w:val="397CDD"/>
          <w:sz w:val="20"/>
          <w:shd w:fill="E8F0FB"/>
        </w:rPr>
        <w:t>[ ]</w:t>
      </w:r>
      <w:r>
        <w:rPr>
          <w:rFonts w:ascii="Arial" w:hAnsi="Arial"/>
          <w:color w:val="263A43"/>
          <w:sz w:val="20"/>
        </w:rPr>
        <w:t xml:space="preserve">, identificada como reservada o cuyo carácter confidencial resulte razonablemente de su naturaleza y contexto. Las comunicaciones verbales se concretarán por escrito dentro de </w:t>
      </w:r>
      <w:r>
        <w:rPr>
          <w:rFonts w:ascii="Arial" w:hAnsi="Arial"/>
          <w:b/>
          <w:color w:val="397CDD"/>
          <w:sz w:val="20"/>
          <w:shd w:fill="E8F0FB"/>
        </w:rPr>
        <w:t>[DÍAS]</w:t>
      </w:r>
      <w:r>
        <w:rPr>
          <w:rFonts w:ascii="Arial" w:hAnsi="Arial"/>
          <w:color w:val="263A43"/>
          <w:sz w:val="20"/>
        </w:rPr>
        <w:t xml:space="preserve"> cuando sea posible, sin que esa formalidad elimine la protección de un secreto empresarial que reúna los requisitos legales.</w:t>
      </w:r>
    </w:p>
    <w:p>
      <w:pPr>
        <w:jc w:val="both"/>
      </w:pPr>
      <w:r>
        <w:rPr>
          <w:rFonts w:ascii="Arial" w:hAnsi="Arial"/>
          <w:color w:val="263A43"/>
          <w:sz w:val="20"/>
        </w:rPr>
        <w:t>Segunda. Exclusiones. No queda incluida la información que la receptora pueda acreditar que era pública sin incumplimiento, conocía legítimamente antes de recibirla, obtuvo lícitamente de un tercero sin deber de reserva o desarrolló de forma independiente sin usar la información protegida. Tampoco se restringen revelaciones amparadas por la ley, el ejercicio legítimo de defensa ni comunicaciones o denuncias protegidas de irregularidades.</w:t>
      </w:r>
    </w:p>
    <w:p>
      <w:pPr>
        <w:jc w:val="both"/>
      </w:pPr>
      <w:r>
        <w:rPr>
          <w:rFonts w:ascii="Arial" w:hAnsi="Arial"/>
          <w:color w:val="263A43"/>
          <w:sz w:val="20"/>
        </w:rPr>
        <w:t xml:space="preserve">Tercera. Uso permitido. La receptora utilizará la información exclusivamente para </w:t>
      </w:r>
      <w:r>
        <w:rPr>
          <w:rFonts w:ascii="Arial" w:hAnsi="Arial"/>
          <w:b/>
          <w:color w:val="397CDD"/>
          <w:sz w:val="20"/>
          <w:shd w:fill="E8F0FB"/>
        </w:rPr>
        <w:t>[FINALIDAD]</w:t>
      </w:r>
      <w:r>
        <w:rPr>
          <w:rFonts w:ascii="Arial" w:hAnsi="Arial"/>
          <w:color w:val="263A43"/>
          <w:sz w:val="20"/>
        </w:rPr>
        <w:t>, sin explotarla para un proyecto ajeno, divulgarla o copiarla más allá de lo necesario. El intercambio no concede licencia de propiedad intelectual o industrial, exclusividad, obligación de contratar, cesión de titularidad ni autorización para usar marcas públicamente.</w:t>
      </w:r>
    </w:p>
    <w:p>
      <w:pPr>
        <w:jc w:val="both"/>
      </w:pPr>
      <w:r>
        <w:rPr>
          <w:rFonts w:ascii="Arial" w:hAnsi="Arial"/>
          <w:color w:val="263A43"/>
          <w:sz w:val="20"/>
        </w:rPr>
        <w:t>Cuarta. Personas autorizadas. Podrá acceder el personal y los asesores que necesiten conocerla para la finalidad y estén sujetos a obligaciones de reserva adecuadas o secreto profesional. La receptora informará de las restricciones y responderá de los incumplimientos que le sean imputables conforme a la ley. Las transferencias a terceros distintos requerirán autorización escrita o fundamento legal suficiente.</w:t>
      </w:r>
    </w:p>
    <w:p>
      <w:pPr>
        <w:jc w:val="both"/>
      </w:pPr>
      <w:r>
        <w:rPr>
          <w:rFonts w:ascii="Arial" w:hAnsi="Arial"/>
          <w:color w:val="263A43"/>
          <w:sz w:val="20"/>
        </w:rPr>
        <w:t xml:space="preserve">Quinta. Seguridad e incidencias. Cada parte aplicará medidas razonables y proporcionadas al riesgo, al menos equivalentes a las que utiliza para información propia de naturaleza similar, incluyendo </w:t>
      </w:r>
      <w:r>
        <w:rPr>
          <w:rFonts w:ascii="Arial" w:hAnsi="Arial"/>
          <w:b/>
          <w:color w:val="397CDD"/>
          <w:sz w:val="20"/>
          <w:shd w:fill="E8F0FB"/>
        </w:rPr>
        <w:t>[MEDIDAS CONCRETAS]</w:t>
      </w:r>
      <w:r>
        <w:rPr>
          <w:rFonts w:ascii="Arial" w:hAnsi="Arial"/>
          <w:color w:val="263A43"/>
          <w:sz w:val="20"/>
        </w:rPr>
        <w:t>. Comunicará sin dilación indebida cualquier acceso, pérdida o divulgación no autorizados conocidos, facilitará datos verificables y cooperará para contener sus efectos. Esta comunicación no presume responsabilidad antes de determinar los hechos.</w:t>
      </w:r>
    </w:p>
    <w:p>
      <w:pPr>
        <w:jc w:val="both"/>
      </w:pPr>
      <w:r>
        <w:rPr>
          <w:rFonts w:ascii="Arial" w:hAnsi="Arial"/>
          <w:color w:val="263A43"/>
          <w:sz w:val="20"/>
        </w:rPr>
        <w:t>Sexta. Revelación obligatoria. Cuando una autoridad o norma exija divulgar información, la parte afectada limitará la comunicación a lo exigible y, si la ley lo permite, avisará previamente a la otra para que pueda solicitar protección. No se exige aviso cuando esté prohibido o pueda frustrar una comunicación legalmente protegida.</w:t>
      </w:r>
    </w:p>
    <w:p>
      <w:pPr>
        <w:jc w:val="both"/>
      </w:pPr>
      <w:r>
        <w:rPr>
          <w:rFonts w:ascii="Arial" w:hAnsi="Arial"/>
          <w:color w:val="263A43"/>
          <w:sz w:val="20"/>
        </w:rPr>
        <w:t xml:space="preserve">Séptima. Duración. El intercambio cubierto podrá realizarse desde </w:t>
      </w:r>
      <w:r>
        <w:rPr>
          <w:rFonts w:ascii="Arial" w:hAnsi="Arial"/>
          <w:b/>
          <w:color w:val="397CDD"/>
          <w:sz w:val="20"/>
          <w:shd w:fill="E8F0FB"/>
        </w:rPr>
        <w:t>[ ]</w:t>
      </w:r>
      <w:r>
        <w:rPr>
          <w:rFonts w:ascii="Arial" w:hAnsi="Arial"/>
          <w:color w:val="263A43"/>
          <w:sz w:val="20"/>
        </w:rPr>
        <w:t xml:space="preserve"> hasta </w:t>
      </w:r>
      <w:r>
        <w:rPr>
          <w:rFonts w:ascii="Arial" w:hAnsi="Arial"/>
          <w:b/>
          <w:color w:val="397CDD"/>
          <w:sz w:val="20"/>
          <w:shd w:fill="E8F0FB"/>
        </w:rPr>
        <w:t>[ ]</w:t>
      </w:r>
      <w:r>
        <w:rPr>
          <w:rFonts w:ascii="Arial" w:hAnsi="Arial"/>
          <w:color w:val="263A43"/>
          <w:sz w:val="20"/>
        </w:rPr>
        <w:t xml:space="preserve">. El deber contractual de reserva subsistirá durante </w:t>
      </w:r>
      <w:r>
        <w:rPr>
          <w:rFonts w:ascii="Arial" w:hAnsi="Arial"/>
          <w:b/>
          <w:color w:val="397CDD"/>
          <w:sz w:val="20"/>
          <w:shd w:fill="E8F0FB"/>
        </w:rPr>
        <w:t>[NÚMERO]</w:t>
      </w:r>
      <w:r>
        <w:rPr>
          <w:rFonts w:ascii="Arial" w:hAnsi="Arial"/>
          <w:color w:val="263A43"/>
          <w:sz w:val="20"/>
        </w:rPr>
        <w:t xml:space="preserve"> años desde </w:t>
      </w:r>
      <w:r>
        <w:rPr>
          <w:rFonts w:ascii="Arial" w:hAnsi="Arial"/>
          <w:b/>
          <w:color w:val="397CDD"/>
          <w:sz w:val="20"/>
          <w:shd w:fill="E8F0FB"/>
        </w:rPr>
        <w:t>[ÚLTIMA ENTREGA / TERMINACIÓN; ELEGIR]</w:t>
      </w:r>
      <w:r>
        <w:rPr>
          <w:rFonts w:ascii="Arial" w:hAnsi="Arial"/>
          <w:color w:val="263A43"/>
          <w:sz w:val="20"/>
        </w:rPr>
        <w:t>. Respecto de información que siga reuniendo los requisitos de secreto empresarial, su protección legal subsistirá mientras concurran esos requisitos, sin convertir por ello toda la información intercambiada en un secreto perpetuo.</w:t>
      </w:r>
    </w:p>
    <w:p>
      <w:pPr>
        <w:jc w:val="both"/>
      </w:pPr>
      <w:r>
        <w:rPr>
          <w:rFonts w:ascii="Arial" w:hAnsi="Arial"/>
          <w:color w:val="263A43"/>
          <w:sz w:val="20"/>
        </w:rPr>
        <w:t xml:space="preserve">Octava. Devolución y conservación. A la terminación o a requerimiento razonable se devolverá o destruirá la información y sus copias operativas en </w:t>
      </w:r>
      <w:r>
        <w:rPr>
          <w:rFonts w:ascii="Arial" w:hAnsi="Arial"/>
          <w:b/>
          <w:color w:val="397CDD"/>
          <w:sz w:val="20"/>
          <w:shd w:fill="E8F0FB"/>
        </w:rPr>
        <w:t>[DÍAS]</w:t>
      </w:r>
      <w:r>
        <w:rPr>
          <w:rFonts w:ascii="Arial" w:hAnsi="Arial"/>
          <w:color w:val="263A43"/>
          <w:sz w:val="20"/>
        </w:rPr>
        <w:t>, salvo conservación legal, defensa de derechos o copias de seguridad no accesibles en el uso ordinario. Las copias conservadas seguirán sujetas a reserva y no se reutilizarán para otra finalidad.</w:t>
      </w:r>
    </w:p>
    <w:p>
      <w:pPr>
        <w:jc w:val="both"/>
      </w:pPr>
      <w:r>
        <w:rPr>
          <w:rFonts w:ascii="Arial" w:hAnsi="Arial"/>
          <w:color w:val="263A43"/>
          <w:sz w:val="20"/>
        </w:rPr>
        <w:t>Novena. Datos personales y legitimidad. Cada parte solo revelará información para la que esté legitimada y limitará los datos personales a los necesarios. Se cumplirán las obligaciones de protección de datos y se formalizará por separado el acuerdo de encargo cuando proceda. Este documento no crea por sí solo una base jurídica para cualquier tratamiento.</w:t>
      </w:r>
    </w:p>
    <w:p>
      <w:pPr>
        <w:jc w:val="both"/>
      </w:pPr>
      <w:r>
        <w:rPr>
          <w:rFonts w:ascii="Arial" w:hAnsi="Arial"/>
          <w:color w:val="263A43"/>
          <w:sz w:val="20"/>
        </w:rPr>
        <w:t>Décima. Incumplimiento y controversias. El incumplimiento dará lugar a las acciones y reparación de daños acreditados que procedan, sin penalidad automática ni inversión general de la carga de la prueba. Se preservan las medidas urgentes legalmente disponibles. Se aplica el Derecho español y la competencia judicial que corresponda, previo cumplimiento del requisito negociador aplicable.</w:t>
      </w:r>
    </w:p>
    <w:p>
      <w:pPr>
        <w:jc w:val="both"/>
      </w:pPr>
      <w:r>
        <w:rPr>
          <w:rFonts w:ascii="Arial" w:hAnsi="Arial"/>
          <w:color w:val="263A43"/>
          <w:sz w:val="20"/>
        </w:rPr>
        <w:t xml:space="preserve">Undécima. Comunicaciones e integridad. Canales de aviso: A </w:t>
      </w:r>
      <w:r>
        <w:rPr>
          <w:rFonts w:ascii="Arial" w:hAnsi="Arial"/>
          <w:b/>
          <w:color w:val="397CDD"/>
          <w:sz w:val="20"/>
          <w:shd w:fill="E8F0FB"/>
        </w:rPr>
        <w:t>[ ]</w:t>
      </w:r>
      <w:r>
        <w:rPr>
          <w:rFonts w:ascii="Arial" w:hAnsi="Arial"/>
          <w:color w:val="263A43"/>
          <w:sz w:val="20"/>
        </w:rPr>
        <w:t xml:space="preserve">; B </w:t>
      </w:r>
      <w:r>
        <w:rPr>
          <w:rFonts w:ascii="Arial" w:hAnsi="Arial"/>
          <w:b/>
          <w:color w:val="397CDD"/>
          <w:sz w:val="20"/>
          <w:shd w:fill="E8F0FB"/>
        </w:rPr>
        <w:t>[ ]</w:t>
      </w:r>
      <w:r>
        <w:rPr>
          <w:rFonts w:ascii="Arial" w:hAnsi="Arial"/>
          <w:color w:val="263A43"/>
          <w:sz w:val="20"/>
        </w:rPr>
        <w:t>. Las modificaciones serán escritas. La invalidez de una cláusula no extenderá su efecto al resto cuando este pueda subsistir legalmente.</w:t>
      </w:r>
    </w:p>
    <w:p>
      <w:pPr>
        <w:jc w:val="both"/>
      </w:pPr>
      <w:r>
        <w:rPr>
          <w:rFonts w:ascii="Arial" w:hAnsi="Arial"/>
          <w:color w:val="263A43"/>
          <w:sz w:val="20"/>
        </w:rPr>
        <w:t xml:space="preserve">Por la parte A: </w:t>
      </w:r>
      <w:r>
        <w:rPr>
          <w:rFonts w:ascii="Arial" w:hAnsi="Arial"/>
          <w:b/>
          <w:color w:val="397CDD"/>
          <w:sz w:val="20"/>
          <w:shd w:fill="E8F0FB"/>
        </w:rPr>
        <w:t>[FIRMA]</w:t>
      </w:r>
      <w:r>
        <w:rPr>
          <w:rFonts w:ascii="Arial" w:hAnsi="Arial"/>
          <w:color w:val="263A43"/>
          <w:sz w:val="20"/>
        </w:rPr>
        <w:t xml:space="preserve">. Por la parte B: </w:t>
      </w:r>
      <w:r>
        <w:rPr>
          <w:rFonts w:ascii="Arial" w:hAnsi="Arial"/>
          <w:b/>
          <w:color w:val="397CDD"/>
          <w:sz w:val="20"/>
          <w:shd w:fill="E8F0FB"/>
        </w:rPr>
        <w:t>[FIRMA]</w:t>
      </w:r>
      <w:r>
        <w:rPr>
          <w:rFonts w:ascii="Arial" w:hAnsi="Arial"/>
          <w:color w:val="263A43"/>
          <w:sz w:val="20"/>
        </w:rPr>
        <w:t>.</w:t>
      </w:r>
    </w:p>
    <w:p>
      <w:pPr>
        <w:jc w:val="both"/>
      </w:pPr>
      <w:r>
        <w:rPr>
          <w:rFonts w:ascii="Arial" w:hAnsi="Arial"/>
          <w:color w:val="263A43"/>
          <w:sz w:val="20"/>
        </w:rPr>
        <w:t xml:space="preserve">Anexo de información y entregas: </w:t>
      </w:r>
      <w:r>
        <w:rPr>
          <w:rFonts w:ascii="Arial" w:hAnsi="Arial"/>
          <w:b/>
          <w:color w:val="397CDD"/>
          <w:sz w:val="20"/>
          <w:shd w:fill="E8F0FB"/>
        </w:rPr>
        <w:t>[DESCRIPCIÓN, FECHA, EMISOR, RECEPTOR Y SOPORTE]</w:t>
      </w:r>
      <w:r>
        <w:rPr>
          <w:rFonts w:ascii="Arial" w:hAnsi="Arial"/>
          <w:color w:val="263A43"/>
          <w:sz w:val="20"/>
        </w:rPr>
        <w:t>.</w:t>
      </w:r>
    </w:p>
    <w:p>
      <w:r>
        <w:br w:type="page"/>
      </w:r>
    </w:p>
    <w:p>
      <w:pPr>
        <w:pStyle w:val="Heading1"/>
        <w:jc w:val="center"/>
      </w:pPr>
      <w:r>
        <w:t>GUÍA DE REVISIÓN · NO ADJUNTAR AL ESCRITO</w:t>
      </w:r>
    </w:p>
    <w:p>
      <w:pPr>
        <w:pStyle w:val="Heading2"/>
      </w:pPr>
      <w:r>
        <w:t>Finalidad</w:t>
      </w:r>
    </w:p>
    <w:p>
      <w:pPr>
        <w:jc w:val="both"/>
      </w:pPr>
      <w:r>
        <w:rPr>
          <w:rFonts w:ascii="Arial" w:hAnsi="Arial"/>
          <w:color w:val="263A43"/>
          <w:sz w:val="20"/>
        </w:rPr>
        <w:t>Proteger información no pública intercambiada para una finalidad empresarial concreta, con excepciones y obligaciones proporcionadas.</w:t>
      </w:r>
    </w:p>
    <w:p>
      <w:pPr>
        <w:pStyle w:val="Heading2"/>
      </w:pPr>
      <w:r>
        <w:t>Cuándo utilizarlo</w:t>
      </w:r>
    </w:p>
    <w:p>
      <w:pPr>
        <w:jc w:val="both"/>
      </w:pPr>
      <w:r>
        <w:rPr>
          <w:rFonts w:ascii="Arial" w:hAnsi="Arial"/>
          <w:color w:val="263A43"/>
          <w:sz w:val="20"/>
        </w:rPr>
        <w:t>Negociación o colaboración empresarial entre partes identificadas, con información y finalidad delimitadas.</w:t>
      </w:r>
    </w:p>
    <w:p>
      <w:pPr>
        <w:pStyle w:val="Heading2"/>
      </w:pPr>
      <w:r>
        <w:t>Cuándo no utilizarlo</w:t>
      </w:r>
    </w:p>
    <w:p>
      <w:pPr>
        <w:jc w:val="both"/>
      </w:pPr>
      <w:r>
        <w:rPr>
          <w:rFonts w:ascii="Arial" w:hAnsi="Arial"/>
          <w:color w:val="263A43"/>
          <w:sz w:val="20"/>
        </w:rPr>
        <w:t>Pretender impedir denuncias de irregularidades, imponer no competencia oculta, revelar secretos de terceros sin legitimación o sustituir un acuerdo de datos personales.</w:t>
      </w:r>
    </w:p>
    <w:p>
      <w:pPr>
        <w:pStyle w:val="Heading2"/>
      </w:pPr>
      <w:r>
        <w:t>Plazos</w:t>
      </w:r>
    </w:p>
    <w:p>
      <w:pPr>
        <w:jc w:val="both"/>
      </w:pPr>
      <w:r>
        <w:rPr>
          <w:rFonts w:ascii="Arial" w:hAnsi="Arial"/>
          <w:color w:val="263A43"/>
          <w:sz w:val="20"/>
        </w:rPr>
        <w:t>Firmar antes de revelar información; identificar expresamente información previa incluida y duración. No antedatar ni establecer una duración indeterminada para todo contenido sin distinción.</w:t>
      </w:r>
    </w:p>
    <w:p>
      <w:pPr>
        <w:pStyle w:val="Heading2"/>
      </w:pPr>
      <w:r>
        <w:t>Dónde y cómo presentarlo</w:t>
      </w:r>
    </w:p>
    <w:p>
      <w:pPr>
        <w:jc w:val="both"/>
      </w:pPr>
      <w:r>
        <w:rPr>
          <w:rFonts w:ascii="Arial" w:hAnsi="Arial"/>
          <w:color w:val="263A43"/>
          <w:sz w:val="20"/>
        </w:rPr>
        <w:t>Firma de ambas partes con poderes y archivo seguro. Identificar cada entrega y sus destinatarios.</w:t>
      </w:r>
    </w:p>
    <w:p>
      <w:pPr>
        <w:pStyle w:val="Heading2"/>
      </w:pPr>
      <w:r>
        <w:t>Intervención y revisión profesional</w:t>
      </w:r>
    </w:p>
    <w:p>
      <w:pPr>
        <w:jc w:val="both"/>
      </w:pPr>
      <w:r>
        <w:rPr>
          <w:rFonts w:ascii="Arial" w:hAnsi="Arial"/>
          <w:color w:val="263A43"/>
          <w:sz w:val="20"/>
        </w:rPr>
        <w:t>Revisión recomendable para operaciones relevantes, secretos tecnológicos, cláusulas penales o partes extranjeras.</w:t>
      </w:r>
    </w:p>
    <w:p>
      <w:pPr>
        <w:pStyle w:val="Heading2"/>
      </w:pPr>
      <w:r>
        <w:t>Documentación</w:t>
      </w:r>
    </w:p>
    <w:p>
      <w:pPr>
        <w:jc w:val="both"/>
      </w:pPr>
      <w:r>
        <w:rPr>
          <w:rFonts w:ascii="Arial" w:hAnsi="Arial"/>
          <w:color w:val="263A43"/>
          <w:sz w:val="20"/>
        </w:rPr>
        <w:t>Identidad y poderes; finalidad; descripción de información; personas autorizadas; sistemas de seguridad; duración; derechos de terceros y roles de datos.</w:t>
      </w:r>
    </w:p>
    <w:p>
      <w:pPr>
        <w:pStyle w:val="Heading2"/>
      </w:pPr>
      <w:r>
        <w:t>Auditoría de seguridad</w:t>
      </w:r>
    </w:p>
    <w:p>
      <w:pPr>
        <w:jc w:val="both"/>
      </w:pPr>
      <w:r>
        <w:rPr>
          <w:rFonts w:ascii="Arial" w:hAnsi="Arial"/>
          <w:color w:val="263A43"/>
          <w:sz w:val="20"/>
        </w:rPr>
        <w:t>Útil como acuerdo autónomo; no transforma cualquier dato en secreto empresarial ni impide denuncias lícitas, defensa jurídica o deberes de información.</w:t>
      </w:r>
    </w:p>
    <w:p>
      <w:pPr>
        <w:pStyle w:val="Heading2"/>
      </w:pPr>
      <w:r>
        <w:t>Advertencias específicas</w:t>
      </w:r>
    </w:p>
    <w:p>
      <w:pPr>
        <w:jc w:val="both"/>
      </w:pPr>
      <w:r>
        <w:rPr>
          <w:rFonts w:ascii="Arial" w:hAnsi="Arial"/>
          <w:color w:val="263A43"/>
          <w:sz w:val="20"/>
        </w:rPr>
        <w:t>Acuerdo mercantil no destinado a relaciones de consumo o laborales. Proteger secretos requiere además medidas reales de confidencialidad; revisar la normativa de protección de datos y de protección de informantes cuando la información lo exija.</w:t>
      </w:r>
    </w:p>
    <w:p>
      <w:pPr>
        <w:pStyle w:val="Heading2"/>
      </w:pPr>
      <w:r>
        <w:t>Cumplimentación</w:t>
      </w:r>
    </w:p>
    <w:p>
      <w:pPr>
        <w:jc w:val="both"/>
      </w:pPr>
      <w:r>
        <w:rPr>
          <w:rFonts w:ascii="Arial" w:hAnsi="Arial"/>
          <w:color w:val="263A43"/>
          <w:sz w:val="20"/>
        </w:rPr>
        <w:t>Sustituya todos los campos entre corchetes por datos comprobados. Repita filas o registros de los anexos cuando sea necesario. Conserve una sola alternativa cuando se indique. Elimine controles internos, instrucciones y guía antes de enviar; revise cifras, plazos, representación, destinatario y firmas. No antedate ni afirme pagos, acuerdos o notificaciones inexistentes.</w:t>
      </w:r>
    </w:p>
    <w:p>
      <w:pPr>
        <w:pStyle w:val="Heading2"/>
      </w:pPr>
      <w:r>
        <w:t>Campos editables</w:t>
      </w:r>
    </w:p>
    <w:p>
      <w:pPr>
        <w:pStyle w:val="ListBullet"/>
      </w:pPr>
      <w:r>
        <w:rPr>
          <w:rFonts w:ascii="Arial" w:hAnsi="Arial"/>
          <w:color w:val="263A43"/>
          <w:sz w:val="20"/>
        </w:rPr>
        <w:t>LOCALIDAD</w:t>
      </w:r>
    </w:p>
    <w:p>
      <w:pPr>
        <w:pStyle w:val="ListBullet"/>
      </w:pPr>
      <w:r>
        <w:rPr>
          <w:rFonts w:ascii="Arial" w:hAnsi="Arial"/>
          <w:color w:val="263A43"/>
          <w:sz w:val="20"/>
        </w:rPr>
        <w:t>FECHA</w:t>
      </w:r>
    </w:p>
    <w:p>
      <w:pPr>
        <w:pStyle w:val="ListBullet"/>
      </w:pPr>
      <w:r>
        <w:rPr>
          <w:rFonts w:ascii="Arial" w:hAnsi="Arial"/>
          <w:color w:val="263A43"/>
          <w:sz w:val="20"/>
        </w:rPr>
        <w:t>DENOMINACIÓN, NIF, DOMICILIO Y REPRESENTANTE CON PODER</w:t>
      </w:r>
    </w:p>
    <w:p>
      <w:pPr>
        <w:pStyle w:val="ListBullet"/>
      </w:pPr>
      <w:r>
        <w:rPr>
          <w:rFonts w:ascii="Arial" w:hAnsi="Arial"/>
          <w:color w:val="263A43"/>
          <w:sz w:val="20"/>
        </w:rPr>
        <w:t>RECÍPROCO / UNILATERAL, IDENTIFICANDO QUIÉN REVELA</w:t>
      </w:r>
    </w:p>
    <w:p>
      <w:pPr>
        <w:pStyle w:val="ListBullet"/>
      </w:pPr>
      <w:r>
        <w:rPr>
          <w:rFonts w:ascii="Arial" w:hAnsi="Arial"/>
          <w:color w:val="263A43"/>
          <w:sz w:val="20"/>
        </w:rPr>
        <w:t>FINALIDAD CONCRETA</w:t>
      </w:r>
    </w:p>
    <w:p>
      <w:pPr>
        <w:pStyle w:val="ListBullet"/>
      </w:pPr>
      <w:r>
        <w:rPr>
          <w:rFonts w:ascii="Arial" w:hAnsi="Arial"/>
          <w:color w:val="263A43"/>
          <w:sz w:val="20"/>
        </w:rPr>
        <w:t>CATEGORÍAS Y PROYECTO</w:t>
      </w:r>
    </w:p>
    <w:p>
      <w:pPr>
        <w:jc w:val="both"/>
      </w:pPr>
      <w:r>
        <w:rPr>
          <w:rFonts w:ascii="Arial" w:hAnsi="Arial"/>
          <w:color w:val="263A43"/>
          <w:sz w:val="20"/>
        </w:rPr>
        <w:t>-</w:t>
      </w:r>
    </w:p>
    <w:p>
      <w:pPr>
        <w:pStyle w:val="ListBullet"/>
      </w:pPr>
      <w:r>
        <w:rPr>
          <w:rFonts w:ascii="Arial" w:hAnsi="Arial"/>
          <w:color w:val="263A43"/>
          <w:sz w:val="20"/>
        </w:rPr>
        <w:t>DÍAS</w:t>
      </w:r>
    </w:p>
    <w:p>
      <w:pPr>
        <w:pStyle w:val="ListBullet"/>
      </w:pPr>
      <w:r>
        <w:rPr>
          <w:rFonts w:ascii="Arial" w:hAnsi="Arial"/>
          <w:color w:val="263A43"/>
          <w:sz w:val="20"/>
        </w:rPr>
        <w:t>FINALIDAD</w:t>
      </w:r>
    </w:p>
    <w:p>
      <w:pPr>
        <w:pStyle w:val="ListBullet"/>
      </w:pPr>
      <w:r>
        <w:rPr>
          <w:rFonts w:ascii="Arial" w:hAnsi="Arial"/>
          <w:color w:val="263A43"/>
          <w:sz w:val="20"/>
        </w:rPr>
        <w:t>MEDIDAS CONCRETAS</w:t>
      </w:r>
    </w:p>
    <w:p>
      <w:pPr>
        <w:pStyle w:val="ListBullet"/>
      </w:pPr>
      <w:r>
        <w:rPr>
          <w:rFonts w:ascii="Arial" w:hAnsi="Arial"/>
          <w:color w:val="263A43"/>
          <w:sz w:val="20"/>
        </w:rPr>
        <w:t>NÚMERO</w:t>
      </w:r>
    </w:p>
    <w:p>
      <w:pPr>
        <w:pStyle w:val="ListBullet"/>
      </w:pPr>
      <w:r>
        <w:rPr>
          <w:rFonts w:ascii="Arial" w:hAnsi="Arial"/>
          <w:color w:val="263A43"/>
          <w:sz w:val="20"/>
        </w:rPr>
        <w:t>ÚLTIMA ENTREGA / TERMINACIÓN; ELEGIR</w:t>
      </w:r>
    </w:p>
    <w:p>
      <w:pPr>
        <w:pStyle w:val="ListBullet"/>
      </w:pPr>
      <w:r>
        <w:rPr>
          <w:rFonts w:ascii="Arial" w:hAnsi="Arial"/>
          <w:color w:val="263A43"/>
          <w:sz w:val="20"/>
        </w:rPr>
        <w:t>FIRMA</w:t>
      </w:r>
    </w:p>
    <w:p>
      <w:pPr>
        <w:pStyle w:val="ListBullet"/>
      </w:pPr>
      <w:r>
        <w:rPr>
          <w:rFonts w:ascii="Arial" w:hAnsi="Arial"/>
          <w:color w:val="263A43"/>
          <w:sz w:val="20"/>
        </w:rPr>
        <w:t>DESCRIPCIÓN, FECHA, EMISOR, RECEPTOR Y SOPORTE</w:t>
      </w:r>
    </w:p>
    <w:p>
      <w:pPr>
        <w:pStyle w:val="Heading2"/>
      </w:pPr>
      <w:r>
        <w:t>Fuentes oficiales</w:t>
      </w:r>
    </w:p>
    <w:p>
      <w:pPr>
        <w:pStyle w:val="ListBullet"/>
      </w:pPr>
      <w:r>
        <w:rPr>
          <w:rFonts w:ascii="Arial" w:hAnsi="Arial"/>
          <w:color w:val="263A43"/>
          <w:sz w:val="20"/>
        </w:rPr>
        <w:t>Código Civil — https://www.boe.es/buscar/act.php?id=BOE-A-1889-4763: arts. 1091, 1101, 1255 y 1258.</w:t>
      </w:r>
    </w:p>
    <w:p>
      <w:pPr>
        <w:pStyle w:val="ListBullet"/>
      </w:pPr>
      <w:r>
        <w:rPr>
          <w:rFonts w:ascii="Arial" w:hAnsi="Arial"/>
          <w:color w:val="263A43"/>
          <w:sz w:val="20"/>
        </w:rPr>
        <w:t>Ley 1/2019, de Secretos Empresariales — https://www.boe.es/eli/es/l/2019/02/20/1/con: arts. 1 a 3 y 8 a 11.</w:t>
      </w:r>
    </w:p>
    <w:p>
      <w:pPr>
        <w:pStyle w:val="ListBullet"/>
      </w:pPr>
      <w:r>
        <w:rPr>
          <w:rFonts w:ascii="Arial" w:hAnsi="Arial"/>
          <w:color w:val="263A43"/>
          <w:sz w:val="20"/>
        </w:rPr>
        <w:t>Reglamento (UE) 2016/679, protección de datos personales — https://eur-lex.europa.eu/legal-content/ES/TXT/?uri=CELEX:32016R0679: arts. 5, 6, 28 y 32, según el tratamiento.</w:t>
      </w:r>
    </w:p>
    <w:p>
      <w:pPr>
        <w:pStyle w:val="ListBullet"/>
      </w:pPr>
      <w:r>
        <w:rPr>
          <w:rFonts w:ascii="Arial" w:hAnsi="Arial"/>
          <w:color w:val="263A43"/>
          <w:sz w:val="20"/>
        </w:rPr>
        <w:t>Ley Orgánica 1/2025, de eficiencia del Servicio Público de Justicia — https://www.boe.es/buscar/act.php?id=BOE-A-2025-76: arts. 2 a 10, cuando proceda negociación previa.</w:t>
      </w:r>
    </w:p>
    <w:p>
      <w:pPr>
        <w:jc w:val="both"/>
      </w:pPr>
      <w:r>
        <w:rPr>
          <w:rFonts w:ascii="Arial" w:hAnsi="Arial"/>
          <w:color w:val="263A43"/>
          <w:sz w:val="20"/>
        </w:rPr>
        <w:t>Revisión normativa documental: 13 de septiembre de 2026. Comprueba la normativa, el procedimiento y los datos del caso antes de utilizarlo. Plantilla general: completar, contrastar documentos y eliminar las alternativas no aplicables. No garantiza un resultado ni sustituye actuaciones profesionales o formularios obligatorios.</w:t>
      </w:r>
    </w:p>
    <w:p>
      <w:pPr>
        <w:jc w:val="both"/>
      </w:pPr>
      <w:r>
        <w:rPr>
          <w:rFonts w:ascii="Arial" w:hAnsi="Arial"/>
          <w:color w:val="263A43"/>
          <w:sz w:val="20"/>
        </w:rPr>
        <w:t>El contraste se ha efectuado sobre las fuentes oficiales identificadas, no sobre todos los regímenes territoriales, convenios privados, bases de convocatoria, estatutos o jurisprudencia posible. Las versiones consolidadas facilitan la consulta pero debe comprobarse la publicación oficial y la vigencia temporal del precepto aplicable. No se ha efectuado una auditoría de duplicidades del catálogo actualmente publicado en la web.</w:t>
      </w:r>
    </w:p>
    <w:p>
      <w:pPr>
        <w:pStyle w:val="Heading1"/>
      </w:pPr>
      <w:r>
        <w:t>Fuentes oficiales verificadas</w:t>
      </w:r>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